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77A01" w14:textId="77777777" w:rsidR="0031616A" w:rsidRPr="0031616A" w:rsidRDefault="0031616A">
      <w:pPr>
        <w:pStyle w:val="SEC06-18"/>
        <w:rPr>
          <w:rFonts w:ascii="Courier New" w:hAnsi="Courier New"/>
        </w:rPr>
      </w:pPr>
      <w:r w:rsidRPr="0031616A">
        <w:rPr>
          <w:rFonts w:ascii="Courier New" w:hAnsi="Courier New"/>
          <w:vanish/>
        </w:rPr>
        <w:fldChar w:fldCharType="begin"/>
      </w:r>
      <w:r w:rsidRPr="0031616A">
        <w:rPr>
          <w:rFonts w:ascii="Courier New" w:hAnsi="Courier New"/>
          <w:vanish/>
        </w:rPr>
        <w:instrText xml:space="preserve"> COMMENTS START_STATUTE \* MERGEFORMAT </w:instrText>
      </w:r>
      <w:r w:rsidRPr="0031616A">
        <w:rPr>
          <w:rFonts w:ascii="Courier New" w:hAnsi="Courier New"/>
          <w:vanish/>
        </w:rPr>
        <w:fldChar w:fldCharType="separate"/>
      </w:r>
      <w:r w:rsidRPr="0031616A">
        <w:rPr>
          <w:rFonts w:ascii="Courier New" w:hAnsi="Courier New"/>
          <w:vanish/>
        </w:rPr>
        <w:t>START_STATUTE</w:t>
      </w:r>
      <w:r w:rsidRPr="0031616A">
        <w:rPr>
          <w:rFonts w:ascii="Courier New" w:hAnsi="Courier New"/>
          <w:vanish/>
        </w:rPr>
        <w:fldChar w:fldCharType="end"/>
      </w:r>
      <w:r w:rsidRPr="0031616A">
        <w:rPr>
          <w:rStyle w:val="SNUM"/>
          <w:rFonts w:ascii="Courier New" w:hAnsi="Courier New"/>
        </w:rPr>
        <w:t>32-2197</w:t>
      </w:r>
      <w:r w:rsidRPr="0031616A">
        <w:rPr>
          <w:rFonts w:ascii="Courier New" w:hAnsi="Courier New"/>
        </w:rPr>
        <w:t>.  </w:t>
      </w:r>
      <w:r w:rsidRPr="0031616A">
        <w:rPr>
          <w:rStyle w:val="SECHEAD"/>
          <w:rFonts w:ascii="Courier New" w:hAnsi="Courier New"/>
        </w:rPr>
        <w:t>Definitions</w:t>
      </w:r>
    </w:p>
    <w:p w14:paraId="30B061F0" w14:textId="77777777" w:rsidR="0031616A" w:rsidRPr="0031616A" w:rsidRDefault="0031616A">
      <w:pPr>
        <w:pStyle w:val="P06-00"/>
        <w:rPr>
          <w:rFonts w:ascii="Courier New" w:hAnsi="Courier New"/>
        </w:rPr>
      </w:pPr>
      <w:r w:rsidRPr="0031616A">
        <w:rPr>
          <w:rFonts w:ascii="Courier New" w:hAnsi="Courier New"/>
        </w:rPr>
        <w:t>In this article, unless the context otherwise requires:</w:t>
      </w:r>
    </w:p>
    <w:p w14:paraId="79AA0B67" w14:textId="77777777" w:rsidR="0031616A" w:rsidRPr="0031616A" w:rsidRDefault="0031616A">
      <w:pPr>
        <w:pStyle w:val="P06-00"/>
        <w:rPr>
          <w:rFonts w:ascii="Courier New" w:hAnsi="Courier New"/>
        </w:rPr>
      </w:pPr>
      <w:r w:rsidRPr="0031616A">
        <w:rPr>
          <w:rFonts w:ascii="Courier New" w:hAnsi="Courier New"/>
        </w:rPr>
        <w:t>1.  "Accommodation" means any apartment, condominium or cooperative unit, cabin, lodge, hotel or motel room, or other private or commercial structure containing toilet facilities that is designed and available for use and occupancy as a residence by one or more individuals and that is included in the offering of a timeshare plan.</w:t>
      </w:r>
    </w:p>
    <w:p w14:paraId="0B8458BF" w14:textId="77777777" w:rsidR="0031616A" w:rsidRPr="0031616A" w:rsidRDefault="0031616A">
      <w:pPr>
        <w:pStyle w:val="P06-00"/>
        <w:rPr>
          <w:rFonts w:ascii="Courier New" w:hAnsi="Courier New"/>
        </w:rPr>
      </w:pPr>
      <w:r w:rsidRPr="0031616A">
        <w:rPr>
          <w:rFonts w:ascii="Courier New" w:hAnsi="Courier New"/>
        </w:rPr>
        <w:t>2.  "Advertisement" means any written, oral or electronic communication that is directed to or targeted to persons in this state and that contains a promotion, inducement, premium or offer to sell a timeshare plan, including brochures, pamphlets, radio and television scripts, electronic media, telephone and direct mail solicitations and other means of promotions.</w:t>
      </w:r>
    </w:p>
    <w:p w14:paraId="6F4D4145" w14:textId="77777777" w:rsidR="0031616A" w:rsidRPr="0031616A" w:rsidRDefault="0031616A">
      <w:pPr>
        <w:pStyle w:val="P06-00"/>
        <w:rPr>
          <w:rFonts w:ascii="Courier New" w:hAnsi="Courier New"/>
        </w:rPr>
      </w:pPr>
      <w:r w:rsidRPr="0031616A">
        <w:rPr>
          <w:rFonts w:ascii="Courier New" w:hAnsi="Courier New"/>
        </w:rPr>
        <w:t>3.  "Assessment" means the share of funds required for the payment of common expenses that the managing entity assesses periodically against each purchaser.</w:t>
      </w:r>
    </w:p>
    <w:p w14:paraId="01CDE284" w14:textId="77777777" w:rsidR="0031616A" w:rsidRPr="0031616A" w:rsidRDefault="0031616A">
      <w:pPr>
        <w:pStyle w:val="P06-00"/>
        <w:rPr>
          <w:rFonts w:ascii="Courier New" w:hAnsi="Courier New"/>
        </w:rPr>
      </w:pPr>
      <w:r w:rsidRPr="0031616A">
        <w:rPr>
          <w:rFonts w:ascii="Courier New" w:hAnsi="Courier New"/>
        </w:rPr>
        <w:t>4.  "Association" means any organized body consisting of the purchasers of interests in a timeshare plan.</w:t>
      </w:r>
    </w:p>
    <w:p w14:paraId="52778B8A" w14:textId="77777777" w:rsidR="0031616A" w:rsidRPr="0031616A" w:rsidRDefault="0031616A">
      <w:pPr>
        <w:pStyle w:val="P06-00"/>
        <w:rPr>
          <w:rFonts w:ascii="Courier New" w:hAnsi="Courier New"/>
        </w:rPr>
      </w:pPr>
      <w:r w:rsidRPr="0031616A">
        <w:rPr>
          <w:rFonts w:ascii="Courier New" w:hAnsi="Courier New"/>
        </w:rPr>
        <w:t xml:space="preserve">5.  "Component site" means a specific geographic location where accommodations that are part of a </w:t>
      </w:r>
      <w:proofErr w:type="spellStart"/>
      <w:r w:rsidRPr="0031616A">
        <w:rPr>
          <w:rFonts w:ascii="Courier New" w:hAnsi="Courier New"/>
        </w:rPr>
        <w:t>multisite</w:t>
      </w:r>
      <w:proofErr w:type="spellEnd"/>
      <w:r w:rsidRPr="0031616A">
        <w:rPr>
          <w:rFonts w:ascii="Courier New" w:hAnsi="Courier New"/>
        </w:rPr>
        <w:t xml:space="preserve"> timeshare plan are located.  Separate phases of a single timeshare property in a specific geographic location and under common management are a single component site.</w:t>
      </w:r>
    </w:p>
    <w:p w14:paraId="4F30FFB5" w14:textId="77777777" w:rsidR="0031616A" w:rsidRPr="0031616A" w:rsidRDefault="0031616A">
      <w:pPr>
        <w:pStyle w:val="P06-00"/>
        <w:rPr>
          <w:rFonts w:ascii="Courier New" w:hAnsi="Courier New"/>
        </w:rPr>
      </w:pPr>
      <w:r w:rsidRPr="0031616A">
        <w:rPr>
          <w:rFonts w:ascii="Courier New" w:hAnsi="Courier New"/>
        </w:rPr>
        <w:t>6.  "Developer" means either of the following:</w:t>
      </w:r>
    </w:p>
    <w:p w14:paraId="25CE93AE" w14:textId="77777777" w:rsidR="0031616A" w:rsidRPr="0031616A" w:rsidRDefault="0031616A">
      <w:pPr>
        <w:pStyle w:val="P06-00"/>
        <w:rPr>
          <w:rFonts w:ascii="Courier New" w:hAnsi="Courier New"/>
        </w:rPr>
      </w:pPr>
      <w:r w:rsidRPr="0031616A">
        <w:rPr>
          <w:rFonts w:ascii="Courier New" w:hAnsi="Courier New"/>
        </w:rPr>
        <w:t>(a)  Any person, corporation, partnership, limited liability company, trust or other entity, other than a sales agent, that creates a timeshare plan or is in the business of selling timeshare interests or employs sales agents to sell timeshare interests.</w:t>
      </w:r>
    </w:p>
    <w:p w14:paraId="01043449" w14:textId="77777777" w:rsidR="0031616A" w:rsidRPr="0031616A" w:rsidRDefault="0031616A">
      <w:pPr>
        <w:pStyle w:val="P06-00"/>
        <w:rPr>
          <w:rFonts w:ascii="Courier New" w:hAnsi="Courier New"/>
        </w:rPr>
      </w:pPr>
      <w:r w:rsidRPr="0031616A">
        <w:rPr>
          <w:rFonts w:ascii="Courier New" w:hAnsi="Courier New"/>
        </w:rPr>
        <w:t>(b)  Any person or entity that succeeds to the interest of the developer by sale, lease, assignment, mortgage or other transfer if the person offers at least twelve timeshare interests in a particular timeshare plan and the person is in the business of selling timeshare interests or employs sales agents to sell timeshare interests.</w:t>
      </w:r>
    </w:p>
    <w:p w14:paraId="19567F3B" w14:textId="77777777" w:rsidR="0031616A" w:rsidRPr="0031616A" w:rsidRDefault="0031616A">
      <w:pPr>
        <w:pStyle w:val="P06-00"/>
        <w:rPr>
          <w:rFonts w:ascii="Courier New" w:hAnsi="Courier New"/>
        </w:rPr>
      </w:pPr>
      <w:r w:rsidRPr="0031616A">
        <w:rPr>
          <w:rFonts w:ascii="Courier New" w:hAnsi="Courier New"/>
        </w:rPr>
        <w:t>7.  "Dispose" or "disposition" means a voluntary transfer or assignment of any legal or equitable interest in a timeshare plan other than the creation, transfer, assignment or release of a security interest.</w:t>
      </w:r>
    </w:p>
    <w:p w14:paraId="265BC271" w14:textId="77777777" w:rsidR="0031616A" w:rsidRPr="0031616A" w:rsidRDefault="0031616A">
      <w:pPr>
        <w:pStyle w:val="P06-00"/>
        <w:rPr>
          <w:rFonts w:ascii="Courier New" w:hAnsi="Courier New"/>
        </w:rPr>
      </w:pPr>
      <w:r w:rsidRPr="0031616A">
        <w:rPr>
          <w:rFonts w:ascii="Courier New" w:hAnsi="Courier New"/>
        </w:rPr>
        <w:t>8.  "Exchange company" means any person owning or operating or both owning and operating an exchange program.</w:t>
      </w:r>
    </w:p>
    <w:p w14:paraId="293F3D62" w14:textId="77777777" w:rsidR="0031616A" w:rsidRPr="0031616A" w:rsidRDefault="0031616A">
      <w:pPr>
        <w:pStyle w:val="P06-00"/>
        <w:rPr>
          <w:rFonts w:ascii="Courier New" w:hAnsi="Courier New"/>
        </w:rPr>
      </w:pPr>
      <w:r w:rsidRPr="0031616A">
        <w:rPr>
          <w:rFonts w:ascii="Courier New" w:hAnsi="Courier New"/>
        </w:rPr>
        <w:t>9.  "Exchange program" means any method, arrangement or procedure for the voluntary exchange of timeshare interests or other property interests.  Exchange program does not include an assignment of the right to use and occupy accommodations and facilities to purchasers or owners of timeshare interests within a single site timeshare plan.</w:t>
      </w:r>
    </w:p>
    <w:p w14:paraId="7A22B001" w14:textId="77777777" w:rsidR="0031616A" w:rsidRPr="0031616A" w:rsidRDefault="0031616A">
      <w:pPr>
        <w:pStyle w:val="P05-00"/>
        <w:rPr>
          <w:rFonts w:ascii="Courier New" w:hAnsi="Courier New"/>
        </w:rPr>
      </w:pPr>
      <w:r w:rsidRPr="0031616A">
        <w:rPr>
          <w:rFonts w:ascii="Courier New" w:hAnsi="Courier New"/>
        </w:rPr>
        <w:t>10.  "Managing entity" means the association or other person that undertakes the duties, responsibilities and obligations of the management of a timeshare plan.</w:t>
      </w:r>
    </w:p>
    <w:p w14:paraId="1FC6FEEE" w14:textId="77777777" w:rsidR="0031616A" w:rsidRPr="0031616A" w:rsidRDefault="0031616A">
      <w:pPr>
        <w:pStyle w:val="P05-00"/>
        <w:rPr>
          <w:rFonts w:ascii="Courier New" w:hAnsi="Courier New"/>
        </w:rPr>
      </w:pPr>
      <w:r w:rsidRPr="0031616A">
        <w:rPr>
          <w:rFonts w:ascii="Courier New" w:hAnsi="Courier New"/>
        </w:rPr>
        <w:t>11.  "</w:t>
      </w:r>
      <w:proofErr w:type="spellStart"/>
      <w:r w:rsidRPr="0031616A">
        <w:rPr>
          <w:rFonts w:ascii="Courier New" w:hAnsi="Courier New"/>
        </w:rPr>
        <w:t>Multisite</w:t>
      </w:r>
      <w:proofErr w:type="spellEnd"/>
      <w:r w:rsidRPr="0031616A">
        <w:rPr>
          <w:rFonts w:ascii="Courier New" w:hAnsi="Courier New"/>
        </w:rPr>
        <w:t xml:space="preserve"> timeshare plan" includes a specific timeshare interest or a nonspecific timeshare interest.</w:t>
      </w:r>
    </w:p>
    <w:p w14:paraId="302EA330" w14:textId="77777777" w:rsidR="0031616A" w:rsidRPr="0031616A" w:rsidRDefault="0031616A">
      <w:pPr>
        <w:pStyle w:val="P05-00"/>
        <w:rPr>
          <w:rFonts w:ascii="Courier New" w:hAnsi="Courier New"/>
        </w:rPr>
      </w:pPr>
      <w:r w:rsidRPr="0031616A">
        <w:rPr>
          <w:rFonts w:ascii="Courier New" w:hAnsi="Courier New"/>
        </w:rPr>
        <w:t>12.  "Nonspecific timeshare interest" means the right to use accommodations at more than one component site created by or acquired through the timeshare plan's reservation system, but not including a specific right to use any particular accommodations.</w:t>
      </w:r>
    </w:p>
    <w:p w14:paraId="08374128" w14:textId="77777777" w:rsidR="0031616A" w:rsidRPr="0031616A" w:rsidRDefault="0031616A">
      <w:pPr>
        <w:pStyle w:val="P05-00"/>
        <w:rPr>
          <w:rFonts w:ascii="Courier New" w:hAnsi="Courier New"/>
        </w:rPr>
      </w:pPr>
      <w:r w:rsidRPr="0031616A">
        <w:rPr>
          <w:rFonts w:ascii="Courier New" w:hAnsi="Courier New"/>
        </w:rPr>
        <w:t>13.  "Offer" or "offering" means any marketing, promotion, solicitation or advertising of any kind that is intended to interest prospective customers in the sale, lease or use of a timeshare interest in a timeshare plan, other than as security for an obligation, whether now or in the future.  Offer or offering does not include a general promotion of a resort not intended to market timeshare interests.</w:t>
      </w:r>
    </w:p>
    <w:p w14:paraId="4ACB5168" w14:textId="77777777" w:rsidR="0031616A" w:rsidRPr="0031616A" w:rsidRDefault="0031616A">
      <w:pPr>
        <w:pStyle w:val="P05-00"/>
        <w:rPr>
          <w:rFonts w:ascii="Courier New" w:hAnsi="Courier New"/>
        </w:rPr>
      </w:pPr>
      <w:r w:rsidRPr="0031616A">
        <w:rPr>
          <w:rFonts w:ascii="Courier New" w:hAnsi="Courier New"/>
        </w:rPr>
        <w:t>14.  "Person" means a natural person, corporation, limited liability company, partnership, joint venture, association, estate, trust, federal or state government, political subdivision or other legal entity or any combination of these entities.</w:t>
      </w:r>
    </w:p>
    <w:p w14:paraId="74FECD42" w14:textId="77777777" w:rsidR="0031616A" w:rsidRPr="0031616A" w:rsidRDefault="0031616A">
      <w:pPr>
        <w:pStyle w:val="P05-00"/>
        <w:rPr>
          <w:rFonts w:ascii="Courier New" w:hAnsi="Courier New"/>
        </w:rPr>
      </w:pPr>
      <w:r w:rsidRPr="0031616A">
        <w:rPr>
          <w:rFonts w:ascii="Courier New" w:hAnsi="Courier New"/>
        </w:rPr>
        <w:t>15.  "Premium" means anything of value offered, promised or given to a prospective customer as an incentive to attend a presentation for the sale, lease or use of a timeshare interest or to tour or visit a timeshare property.</w:t>
      </w:r>
    </w:p>
    <w:p w14:paraId="6E154BF1" w14:textId="77777777" w:rsidR="0031616A" w:rsidRPr="0031616A" w:rsidRDefault="0031616A">
      <w:pPr>
        <w:pStyle w:val="P05-00"/>
        <w:rPr>
          <w:rFonts w:ascii="Courier New" w:hAnsi="Courier New"/>
        </w:rPr>
      </w:pPr>
      <w:r w:rsidRPr="0031616A">
        <w:rPr>
          <w:rFonts w:ascii="Courier New" w:hAnsi="Courier New"/>
        </w:rPr>
        <w:t>16.  "Promotion" means a plan or device, including one involving the possibility of a prospective purchaser receiving a vacation, discount vacation, gift or prize, used by a developer or the developer's employee, or on the developer's behalf by an agent or the agent's employee, an independent contractor or the independent contractor's employee in connection with the offering and sale of timeshare interests in a timeshare plan.</w:t>
      </w:r>
    </w:p>
    <w:p w14:paraId="420F5D34" w14:textId="77777777" w:rsidR="0031616A" w:rsidRPr="0031616A" w:rsidRDefault="0031616A">
      <w:pPr>
        <w:pStyle w:val="P05-00"/>
        <w:rPr>
          <w:rFonts w:ascii="Courier New" w:hAnsi="Courier New"/>
        </w:rPr>
      </w:pPr>
      <w:r w:rsidRPr="0031616A">
        <w:rPr>
          <w:rFonts w:ascii="Courier New" w:hAnsi="Courier New"/>
        </w:rPr>
        <w:t>17.  "Purchaser" means any person, other than a developer, who, by means of a voluntary transfer, acquires a legal or equitable interest in a timeshare plan other than a security for an obligation.</w:t>
      </w:r>
    </w:p>
    <w:p w14:paraId="62776915" w14:textId="77777777" w:rsidR="0031616A" w:rsidRPr="0031616A" w:rsidRDefault="0031616A">
      <w:pPr>
        <w:pStyle w:val="P05-00"/>
        <w:rPr>
          <w:rFonts w:ascii="Courier New" w:hAnsi="Courier New"/>
        </w:rPr>
      </w:pPr>
      <w:r w:rsidRPr="0031616A">
        <w:rPr>
          <w:rFonts w:ascii="Courier New" w:hAnsi="Courier New"/>
        </w:rPr>
        <w:t>18.  "Purchase agreement" means a document that legally obligates a person to sell or buy a timeshare interest.</w:t>
      </w:r>
    </w:p>
    <w:p w14:paraId="1A0738A0" w14:textId="77777777" w:rsidR="0031616A" w:rsidRPr="0031616A" w:rsidRDefault="0031616A">
      <w:pPr>
        <w:pStyle w:val="P05-00"/>
        <w:rPr>
          <w:rFonts w:ascii="Courier New" w:hAnsi="Courier New"/>
        </w:rPr>
      </w:pPr>
      <w:r w:rsidRPr="0031616A">
        <w:rPr>
          <w:rFonts w:ascii="Courier New" w:hAnsi="Courier New"/>
        </w:rPr>
        <w:t>19.  "Redemption certificate" means a premium that grants a right to or the promise of the future delivery of goods or services and that is conditioned on the holder's compliance with stated requirements, limitations or conditions.  Redemption certificate does not include a prepaid premium or discount certificate, other than a travel related premium, that is redeemable for goods or services at a business located in this state, including a restaurant or retail store.</w:t>
      </w:r>
    </w:p>
    <w:p w14:paraId="22141E7B" w14:textId="77777777" w:rsidR="0031616A" w:rsidRPr="0031616A" w:rsidRDefault="0031616A">
      <w:pPr>
        <w:pStyle w:val="P05-00"/>
        <w:rPr>
          <w:rFonts w:ascii="Courier New" w:hAnsi="Courier New"/>
        </w:rPr>
      </w:pPr>
      <w:r w:rsidRPr="0031616A">
        <w:rPr>
          <w:rFonts w:ascii="Courier New" w:hAnsi="Courier New"/>
        </w:rPr>
        <w:t xml:space="preserve">20.  "Reservation system" means the method, arrangement or procedure in which a purchaser, in order to reserve the use or occupancy of any accommodation of a </w:t>
      </w:r>
      <w:proofErr w:type="spellStart"/>
      <w:r w:rsidRPr="0031616A">
        <w:rPr>
          <w:rFonts w:ascii="Courier New" w:hAnsi="Courier New"/>
        </w:rPr>
        <w:t>multisite</w:t>
      </w:r>
      <w:proofErr w:type="spellEnd"/>
      <w:r w:rsidRPr="0031616A">
        <w:rPr>
          <w:rFonts w:ascii="Courier New" w:hAnsi="Courier New"/>
        </w:rPr>
        <w:t xml:space="preserve"> timeshare plan for one or more timeshare periods, is required to compete with other purchasers in the same </w:t>
      </w:r>
      <w:proofErr w:type="spellStart"/>
      <w:r w:rsidRPr="0031616A">
        <w:rPr>
          <w:rFonts w:ascii="Courier New" w:hAnsi="Courier New"/>
        </w:rPr>
        <w:t>multisite</w:t>
      </w:r>
      <w:proofErr w:type="spellEnd"/>
      <w:r w:rsidRPr="0031616A">
        <w:rPr>
          <w:rFonts w:ascii="Courier New" w:hAnsi="Courier New"/>
        </w:rPr>
        <w:t xml:space="preserve"> timeshare plan, regardless of whether the reservation system is operated and maintained by the </w:t>
      </w:r>
      <w:proofErr w:type="spellStart"/>
      <w:r w:rsidRPr="0031616A">
        <w:rPr>
          <w:rFonts w:ascii="Courier New" w:hAnsi="Courier New"/>
        </w:rPr>
        <w:t>multisite</w:t>
      </w:r>
      <w:proofErr w:type="spellEnd"/>
      <w:r w:rsidRPr="0031616A">
        <w:rPr>
          <w:rFonts w:ascii="Courier New" w:hAnsi="Courier New"/>
        </w:rPr>
        <w:t xml:space="preserve"> timeshare plan managing entity, an exchange company or any other person.  If a purchaser is required to use an exchange program as the purchaser's principal means of obtaining the right to use and occupy accommodations, that arrangement is a reservation system.  Reservation syste</w:t>
      </w:r>
      <w:r w:rsidRPr="0031616A">
        <w:rPr>
          <w:rFonts w:ascii="Courier New" w:hAnsi="Courier New"/>
        </w:rPr>
        <w:t>m does not include the use by an exchange company of a mechanism for the exchange of use of timeshare periods among members of an exchange program.</w:t>
      </w:r>
    </w:p>
    <w:p w14:paraId="78E20BAE" w14:textId="77777777" w:rsidR="0031616A" w:rsidRPr="0031616A" w:rsidRDefault="0031616A">
      <w:pPr>
        <w:pStyle w:val="P05-00"/>
        <w:rPr>
          <w:rFonts w:ascii="Courier New" w:hAnsi="Courier New"/>
        </w:rPr>
      </w:pPr>
      <w:r w:rsidRPr="0031616A">
        <w:rPr>
          <w:rFonts w:ascii="Courier New" w:hAnsi="Courier New"/>
        </w:rPr>
        <w:t>21.  "Sales agent" means a person who, directly or through the person's employees, agents or independent contractors, sells or offers to sell one or more timeshare interests in a timeshare plan to any individual in this state.</w:t>
      </w:r>
    </w:p>
    <w:p w14:paraId="12E6F87E" w14:textId="77777777" w:rsidR="0031616A" w:rsidRPr="0031616A" w:rsidRDefault="0031616A">
      <w:pPr>
        <w:pStyle w:val="P05-00"/>
        <w:rPr>
          <w:rFonts w:ascii="Courier New" w:hAnsi="Courier New"/>
        </w:rPr>
      </w:pPr>
      <w:r w:rsidRPr="0031616A">
        <w:rPr>
          <w:rFonts w:ascii="Courier New" w:hAnsi="Courier New"/>
        </w:rPr>
        <w:t>22.  "Single site timeshare plan" means the right to use accommodations at a single timeshare property.</w:t>
      </w:r>
    </w:p>
    <w:p w14:paraId="41D7AB00" w14:textId="77777777" w:rsidR="0031616A" w:rsidRPr="0031616A" w:rsidRDefault="0031616A">
      <w:pPr>
        <w:pStyle w:val="P05-00"/>
        <w:rPr>
          <w:rFonts w:ascii="Courier New" w:hAnsi="Courier New"/>
        </w:rPr>
      </w:pPr>
      <w:r w:rsidRPr="0031616A">
        <w:rPr>
          <w:rFonts w:ascii="Courier New" w:hAnsi="Courier New"/>
        </w:rPr>
        <w:t>23.  "Specific timeshare interest" means the right to use accommodations at a specific timeshare property, together with use rights in accommodations at one or more other component sites created by or acquired through the timeshare plan's reservation system.</w:t>
      </w:r>
    </w:p>
    <w:p w14:paraId="09C805CE" w14:textId="77777777" w:rsidR="0031616A" w:rsidRPr="0031616A" w:rsidRDefault="0031616A">
      <w:pPr>
        <w:pStyle w:val="P05-00"/>
        <w:rPr>
          <w:rFonts w:ascii="Courier New" w:hAnsi="Courier New"/>
        </w:rPr>
      </w:pPr>
      <w:r w:rsidRPr="0031616A">
        <w:rPr>
          <w:rFonts w:ascii="Courier New" w:hAnsi="Courier New"/>
        </w:rPr>
        <w:t>24.  "Timeshare estate" means the right of occupancy in a timeshare property that is coupled with an estate in real property.</w:t>
      </w:r>
    </w:p>
    <w:p w14:paraId="59936B67" w14:textId="77777777" w:rsidR="0031616A" w:rsidRPr="0031616A" w:rsidRDefault="0031616A">
      <w:pPr>
        <w:pStyle w:val="P05-00"/>
        <w:rPr>
          <w:rFonts w:ascii="Courier New" w:hAnsi="Courier New"/>
        </w:rPr>
      </w:pPr>
      <w:r w:rsidRPr="0031616A">
        <w:rPr>
          <w:rFonts w:ascii="Courier New" w:hAnsi="Courier New"/>
        </w:rPr>
        <w:t>25.  "Timeshare instrument" means one or more documents creating or governing the operation of a timeshare plan.</w:t>
      </w:r>
    </w:p>
    <w:p w14:paraId="078C37C5" w14:textId="77777777" w:rsidR="0031616A" w:rsidRPr="0031616A" w:rsidRDefault="0031616A">
      <w:pPr>
        <w:pStyle w:val="P05-00"/>
        <w:rPr>
          <w:rFonts w:ascii="Courier New" w:hAnsi="Courier New"/>
        </w:rPr>
      </w:pPr>
      <w:r w:rsidRPr="0031616A">
        <w:rPr>
          <w:rFonts w:ascii="Courier New" w:hAnsi="Courier New"/>
        </w:rPr>
        <w:t>26.  "Timeshare interest" includes either a timeshare estate or a timeshare use.</w:t>
      </w:r>
    </w:p>
    <w:p w14:paraId="294442E1" w14:textId="77777777" w:rsidR="0031616A" w:rsidRPr="0031616A" w:rsidRDefault="0031616A">
      <w:pPr>
        <w:pStyle w:val="P05-00"/>
        <w:rPr>
          <w:rFonts w:ascii="Courier New" w:hAnsi="Courier New"/>
        </w:rPr>
      </w:pPr>
      <w:r w:rsidRPr="0031616A">
        <w:rPr>
          <w:rFonts w:ascii="Courier New" w:hAnsi="Courier New"/>
        </w:rPr>
        <w:t>27.  "Timeshare period" means the period of time when the purchaser of a timeshare plan is afforded the opportunity to use the accommodations of a timeshare plan.</w:t>
      </w:r>
    </w:p>
    <w:p w14:paraId="3AC68210" w14:textId="77777777" w:rsidR="0031616A" w:rsidRPr="0031616A" w:rsidRDefault="0031616A">
      <w:pPr>
        <w:pStyle w:val="P05-00"/>
        <w:rPr>
          <w:rFonts w:ascii="Courier New" w:hAnsi="Courier New"/>
        </w:rPr>
      </w:pPr>
      <w:r w:rsidRPr="0031616A">
        <w:rPr>
          <w:rFonts w:ascii="Courier New" w:hAnsi="Courier New"/>
        </w:rPr>
        <w:t>28.  "Timeshare plan" means any arrangement, plan or similar device, other than an exchange program, whether by membership agreement, sale, lease, deed, license or right</w:t>
      </w:r>
      <w:r w:rsidRPr="0031616A">
        <w:rPr>
          <w:rFonts w:ascii="Courier New" w:hAnsi="Courier New"/>
        </w:rPr>
        <w:noBreakHyphen/>
        <w:t>to</w:t>
      </w:r>
      <w:r w:rsidRPr="0031616A">
        <w:rPr>
          <w:rFonts w:ascii="Courier New" w:hAnsi="Courier New"/>
        </w:rPr>
        <w:noBreakHyphen/>
        <w:t xml:space="preserve">use agreement or by any other means, in which a purchaser, in exchange for consideration, receives ownership rights in or the right to use accommodations for a period of time less than a full year during any given year, but not necessarily for consecutive years.  A timeshare plan may be a single site timeshare plan or a </w:t>
      </w:r>
      <w:proofErr w:type="spellStart"/>
      <w:r w:rsidRPr="0031616A">
        <w:rPr>
          <w:rFonts w:ascii="Courier New" w:hAnsi="Courier New"/>
        </w:rPr>
        <w:t>multisite</w:t>
      </w:r>
      <w:proofErr w:type="spellEnd"/>
      <w:r w:rsidRPr="0031616A">
        <w:rPr>
          <w:rFonts w:ascii="Courier New" w:hAnsi="Courier New"/>
        </w:rPr>
        <w:t xml:space="preserve"> timeshare plan.</w:t>
      </w:r>
    </w:p>
    <w:p w14:paraId="6C786EDC" w14:textId="77777777" w:rsidR="0031616A" w:rsidRPr="0031616A" w:rsidRDefault="0031616A">
      <w:pPr>
        <w:pStyle w:val="P05-00"/>
        <w:rPr>
          <w:rFonts w:ascii="Courier New" w:hAnsi="Courier New"/>
        </w:rPr>
      </w:pPr>
      <w:r w:rsidRPr="0031616A">
        <w:rPr>
          <w:rFonts w:ascii="Courier New" w:hAnsi="Courier New"/>
        </w:rPr>
        <w:t>29.  "Timeshare property" means one or more accommodations subject to the same timeshare instrument, together with any other property or rights to property appu</w:t>
      </w:r>
      <w:r w:rsidRPr="0031616A">
        <w:rPr>
          <w:rFonts w:ascii="Courier New" w:hAnsi="Courier New"/>
        </w:rPr>
        <w:t>rtenant to those accommodations.</w:t>
      </w:r>
    </w:p>
    <w:p w14:paraId="6341DFF6" w14:textId="77777777" w:rsidR="0031616A" w:rsidRPr="0031616A" w:rsidRDefault="0031616A">
      <w:pPr>
        <w:pStyle w:val="P05-00"/>
        <w:rPr>
          <w:rFonts w:ascii="Courier New" w:hAnsi="Courier New"/>
        </w:rPr>
      </w:pPr>
      <w:r w:rsidRPr="0031616A">
        <w:rPr>
          <w:rFonts w:ascii="Courier New" w:hAnsi="Courier New"/>
        </w:rPr>
        <w:t xml:space="preserve">30.  "Timeshare use" is the right to occupy a timeshare property that is not coupled with an estate in real property. </w:t>
      </w:r>
      <w:r w:rsidRPr="0031616A">
        <w:rPr>
          <w:rFonts w:ascii="Courier New" w:hAnsi="Courier New"/>
          <w:vanish/>
        </w:rPr>
        <w:fldChar w:fldCharType="begin"/>
      </w:r>
      <w:r w:rsidRPr="0031616A">
        <w:rPr>
          <w:rFonts w:ascii="Courier New" w:hAnsi="Courier New"/>
          <w:vanish/>
        </w:rPr>
        <w:instrText xml:space="preserve"> COMMENTS END_STATUTE \* MERGEFORMAT </w:instrText>
      </w:r>
      <w:r w:rsidRPr="0031616A">
        <w:rPr>
          <w:rFonts w:ascii="Courier New" w:hAnsi="Courier New"/>
          <w:vanish/>
        </w:rPr>
        <w:fldChar w:fldCharType="separate"/>
      </w:r>
      <w:proofErr w:type="spellStart"/>
      <w:r w:rsidRPr="0031616A">
        <w:rPr>
          <w:rFonts w:ascii="Courier New" w:hAnsi="Courier New"/>
          <w:vanish/>
        </w:rPr>
        <w:t>END_STATUTE</w:t>
      </w:r>
      <w:proofErr w:type="spellEnd"/>
      <w:r w:rsidRPr="0031616A">
        <w:rPr>
          <w:rFonts w:ascii="Courier New" w:hAnsi="Courier New"/>
          <w:vanish/>
        </w:rPr>
        <w:fldChar w:fldCharType="end"/>
      </w:r>
    </w:p>
    <w:sectPr w:rsidR="00000000" w:rsidRPr="0031616A">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405FC" w14:textId="77777777" w:rsidR="0031616A" w:rsidRDefault="0031616A">
      <w:r>
        <w:separator/>
      </w:r>
    </w:p>
  </w:endnote>
  <w:endnote w:type="continuationSeparator" w:id="0">
    <w:p w14:paraId="7C39EE64" w14:textId="77777777" w:rsidR="0031616A" w:rsidRDefault="00316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9CBE3" w14:textId="77777777" w:rsidR="0031616A" w:rsidRDefault="0031616A">
      <w:r>
        <w:separator/>
      </w:r>
    </w:p>
  </w:footnote>
  <w:footnote w:type="continuationSeparator" w:id="0">
    <w:p w14:paraId="7A157FD5" w14:textId="77777777" w:rsidR="0031616A" w:rsidRDefault="003161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012881580">
    <w:abstractNumId w:val="1"/>
  </w:num>
  <w:num w:numId="2" w16cid:durableId="149712423">
    <w:abstractNumId w:val="1"/>
  </w:num>
  <w:num w:numId="3" w16cid:durableId="317463289">
    <w:abstractNumId w:val="0"/>
  </w:num>
  <w:num w:numId="4" w16cid:durableId="2002268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16A"/>
    <w:rsid w:val="00316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C25314"/>
  <w15:chartTrackingRefBased/>
  <w15:docId w15:val="{E9DF21D3-4AC8-48D8-A0D7-C353D0D6A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72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semiHidden/>
    <w:pPr>
      <w:widowControl/>
      <w:suppressLineNumbers/>
    </w:pPr>
  </w:style>
  <w:style w:type="paragraph" w:styleId="BodyTextIndent">
    <w:name w:val="Body Text Indent"/>
    <w:basedOn w:val="Normal"/>
    <w:semiHidden/>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semiHidden/>
    <w:pPr>
      <w:tabs>
        <w:tab w:val="center" w:pos="4320"/>
        <w:tab w:val="right" w:pos="8640"/>
      </w:tabs>
    </w:pPr>
  </w:style>
  <w:style w:type="character" w:styleId="FootnoteReference">
    <w:name w:val="footnote reference"/>
    <w:semiHidden/>
  </w:style>
  <w:style w:type="paragraph" w:styleId="Header">
    <w:name w:val="header"/>
    <w:basedOn w:val="Normal"/>
    <w:semiHidden/>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emiHidden/>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emiHidden/>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1249</Words>
  <Characters>6798</Characters>
  <Application>Microsoft Office Word</Application>
  <DocSecurity>0</DocSecurity>
  <Lines>125</Lines>
  <Paragraphs>40</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32-2197; Definitions</dc:title>
  <dc:subject>Definitions</dc:subject>
  <dc:creator>Arizona Legislative Council</dc:creator>
  <cp:keywords/>
  <dc:description/>
  <cp:lastModifiedBy>dbupdate</cp:lastModifiedBy>
  <cp:revision>2</cp:revision>
  <cp:lastPrinted>1601-01-01T00:00:00Z</cp:lastPrinted>
  <dcterms:created xsi:type="dcterms:W3CDTF">2025-09-20T20:57:00Z</dcterms:created>
  <dcterms:modified xsi:type="dcterms:W3CDTF">2025-09-20T20:57:00Z</dcterms:modified>
</cp:coreProperties>
</file>