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DF6" w:rsidRDefault="002A0DF6">
      <w:pPr>
        <w:pStyle w:val="Title"/>
        <w:rPr>
          <w:b w:val="0"/>
          <w:sz w:val="28"/>
        </w:rPr>
      </w:pPr>
      <w:bookmarkStart w:id="0" w:name="TableEnd"/>
      <w:bookmarkEnd w:id="0"/>
    </w:p>
    <w:p w:rsidR="002A0DF6" w:rsidRDefault="002A0DF6">
      <w:pPr>
        <w:pStyle w:val="Title"/>
        <w:rPr>
          <w:b w:val="0"/>
          <w:sz w:val="28"/>
        </w:rPr>
      </w:pPr>
      <w:r>
        <w:rPr>
          <w:b w:val="0"/>
          <w:sz w:val="28"/>
        </w:rPr>
        <w:t>ARIZONA HOUSE OF REPRESENTATIVES</w:t>
      </w:r>
    </w:p>
    <w:p w:rsidR="002A0DF6" w:rsidRDefault="007146A6">
      <w:pPr>
        <w:pStyle w:val="Title"/>
        <w:rPr>
          <w:b w:val="0"/>
          <w:sz w:val="28"/>
        </w:rPr>
      </w:pPr>
      <w:proofErr w:type="gramStart"/>
      <w:r>
        <w:rPr>
          <w:b w:val="0"/>
          <w:sz w:val="28"/>
        </w:rPr>
        <w:t>Fifty-third</w:t>
      </w:r>
      <w:proofErr w:type="gramEnd"/>
      <w:r>
        <w:rPr>
          <w:b w:val="0"/>
          <w:sz w:val="28"/>
        </w:rPr>
        <w:t xml:space="preserve"> Legislature - Second Regular Session</w:t>
      </w:r>
    </w:p>
    <w:p w:rsidR="007146A6" w:rsidRDefault="007146A6">
      <w:pPr>
        <w:pStyle w:val="Title"/>
        <w:rPr>
          <w:b w:val="0"/>
          <w:sz w:val="28"/>
        </w:rPr>
      </w:pPr>
    </w:p>
    <w:p w:rsidR="002A0DF6" w:rsidRDefault="007146A6">
      <w:pPr>
        <w:pStyle w:val="Title"/>
      </w:pPr>
      <w:bookmarkStart w:id="1" w:name="CaucusType"/>
      <w:bookmarkEnd w:id="1"/>
      <w:r>
        <w:t>MAJORITY CAUCUS CALENDAR</w:t>
      </w:r>
      <w:r w:rsidR="004C7B17">
        <w:t xml:space="preserve"> #16</w:t>
      </w:r>
    </w:p>
    <w:p w:rsidR="002A0DF6" w:rsidRDefault="002A0DF6">
      <w:pPr>
        <w:jc w:val="center"/>
        <w:rPr>
          <w:rFonts w:ascii="Arial" w:hAnsi="Arial"/>
          <w:b/>
        </w:rPr>
      </w:pPr>
    </w:p>
    <w:p w:rsidR="002A0DF6" w:rsidRDefault="007146A6">
      <w:pPr>
        <w:jc w:val="center"/>
        <w:rPr>
          <w:rFonts w:ascii="Arial" w:hAnsi="Arial"/>
          <w:b/>
        </w:rPr>
      </w:pPr>
      <w:r>
        <w:rPr>
          <w:rFonts w:ascii="Arial" w:hAnsi="Arial"/>
          <w:b/>
        </w:rPr>
        <w:t>April 10, 2018</w:t>
      </w:r>
    </w:p>
    <w:p w:rsidR="004C7B17" w:rsidRDefault="004C7B17">
      <w:pPr>
        <w:jc w:val="center"/>
        <w:rPr>
          <w:rFonts w:ascii="Arial" w:hAnsi="Arial"/>
          <w:b/>
        </w:rPr>
      </w:pPr>
    </w:p>
    <w:p w:rsidR="004C7B17" w:rsidRDefault="004C7B17" w:rsidP="004C7B17">
      <w:pPr>
        <w:rPr>
          <w:rFonts w:ascii="Arial" w:hAnsi="Arial" w:cs="Arial"/>
          <w:b/>
          <w:sz w:val="22"/>
          <w:szCs w:val="22"/>
        </w:rPr>
      </w:pPr>
      <w:r>
        <w:rPr>
          <w:rFonts w:ascii="Arial" w:hAnsi="Arial" w:cs="Arial"/>
          <w:b/>
          <w:sz w:val="22"/>
          <w:szCs w:val="22"/>
        </w:rPr>
        <w:t>BLUE SHEET #8 (concur/refuse) – HB 2249, HB 2522</w:t>
      </w:r>
    </w:p>
    <w:p w:rsidR="004C7B17" w:rsidRDefault="004C7B17" w:rsidP="004C7B17">
      <w:pPr>
        <w:rPr>
          <w:rFonts w:ascii="Arial" w:hAnsi="Arial" w:cs="Arial"/>
          <w:b/>
          <w:sz w:val="22"/>
          <w:szCs w:val="22"/>
        </w:rPr>
      </w:pPr>
      <w:r>
        <w:rPr>
          <w:rFonts w:ascii="Arial" w:hAnsi="Arial" w:cs="Arial"/>
          <w:b/>
          <w:sz w:val="22"/>
          <w:szCs w:val="22"/>
        </w:rPr>
        <w:t>BLUE SHEET #9</w:t>
      </w:r>
      <w:r w:rsidRPr="004C7B17">
        <w:rPr>
          <w:rFonts w:ascii="Arial" w:hAnsi="Arial" w:cs="Arial"/>
          <w:b/>
          <w:sz w:val="22"/>
          <w:szCs w:val="22"/>
        </w:rPr>
        <w:t xml:space="preserve"> (concur/refuse)</w:t>
      </w:r>
    </w:p>
    <w:p w:rsidR="004C7B17" w:rsidRDefault="004C7B17" w:rsidP="004C7B17">
      <w:pPr>
        <w:rPr>
          <w:rFonts w:ascii="Arial" w:hAnsi="Arial" w:cs="Arial"/>
          <w:b/>
          <w:sz w:val="22"/>
          <w:szCs w:val="22"/>
        </w:rPr>
      </w:pPr>
      <w:r w:rsidRPr="004C7B17">
        <w:rPr>
          <w:rFonts w:ascii="Arial" w:hAnsi="Arial" w:cs="Arial"/>
          <w:b/>
          <w:sz w:val="22"/>
          <w:szCs w:val="22"/>
        </w:rPr>
        <w:t>BLUE SHEET #10 (concur/refuse)</w:t>
      </w:r>
    </w:p>
    <w:p w:rsidR="004C7B17" w:rsidRPr="004C7B17" w:rsidRDefault="004C7B17" w:rsidP="004C7B17">
      <w:pPr>
        <w:rPr>
          <w:rFonts w:ascii="Arial" w:hAnsi="Arial" w:cs="Arial"/>
          <w:b/>
          <w:sz w:val="22"/>
          <w:szCs w:val="22"/>
        </w:rPr>
      </w:pPr>
      <w:r w:rsidRPr="004C7B17">
        <w:rPr>
          <w:rFonts w:ascii="Arial" w:hAnsi="Arial" w:cs="Arial"/>
          <w:b/>
          <w:sz w:val="22"/>
          <w:szCs w:val="22"/>
        </w:rPr>
        <w:t>BLUE SHEET #1</w:t>
      </w:r>
      <w:r>
        <w:rPr>
          <w:rFonts w:ascii="Arial" w:hAnsi="Arial" w:cs="Arial"/>
          <w:b/>
          <w:sz w:val="22"/>
          <w:szCs w:val="22"/>
        </w:rPr>
        <w:t>1</w:t>
      </w:r>
      <w:r w:rsidRPr="004C7B17">
        <w:rPr>
          <w:rFonts w:ascii="Arial" w:hAnsi="Arial" w:cs="Arial"/>
          <w:b/>
          <w:sz w:val="22"/>
          <w:szCs w:val="22"/>
        </w:rPr>
        <w:t xml:space="preserve"> (concur/refuse)</w:t>
      </w:r>
    </w:p>
    <w:p w:rsidR="002A0DF6" w:rsidRDefault="002A0DF6">
      <w:pPr>
        <w:jc w:val="center"/>
        <w:rPr>
          <w:rFonts w:ascii="Arial" w:hAnsi="Arial"/>
          <w:b/>
        </w:rPr>
      </w:pPr>
    </w:p>
    <w:p w:rsidR="007146A6" w:rsidRDefault="007146A6">
      <w:pPr>
        <w:tabs>
          <w:tab w:val="left" w:pos="1728"/>
          <w:tab w:val="left" w:pos="3528"/>
          <w:tab w:val="left" w:pos="5598"/>
          <w:tab w:val="left" w:pos="6678"/>
        </w:tabs>
        <w:rPr>
          <w:rFonts w:ascii="Arial" w:hAnsi="Arial"/>
          <w:sz w:val="22"/>
        </w:rPr>
      </w:pPr>
      <w:r>
        <w:rPr>
          <w:rFonts w:ascii="Arial" w:hAnsi="Arial"/>
          <w:sz w:val="22"/>
        </w:rPr>
        <w:t>Bill Number</w:t>
      </w:r>
      <w:r>
        <w:rPr>
          <w:rFonts w:ascii="Arial" w:hAnsi="Arial"/>
          <w:sz w:val="22"/>
        </w:rPr>
        <w:tab/>
        <w:t>Short Title</w:t>
      </w:r>
      <w:r>
        <w:rPr>
          <w:rFonts w:ascii="Arial" w:hAnsi="Arial"/>
          <w:sz w:val="22"/>
        </w:rPr>
        <w:tab/>
        <w:t>Committee</w:t>
      </w:r>
      <w:r>
        <w:rPr>
          <w:rFonts w:ascii="Arial" w:hAnsi="Arial"/>
          <w:sz w:val="22"/>
        </w:rPr>
        <w:tab/>
        <w:t>Date</w:t>
      </w:r>
      <w:r>
        <w:rPr>
          <w:rFonts w:ascii="Arial" w:hAnsi="Arial"/>
          <w:sz w:val="22"/>
        </w:rPr>
        <w:tab/>
        <w:t>Action</w:t>
      </w:r>
    </w:p>
    <w:p w:rsidR="002A0DF6" w:rsidRDefault="002A0DF6">
      <w:pPr>
        <w:tabs>
          <w:tab w:val="left" w:pos="270"/>
          <w:tab w:val="left" w:pos="1530"/>
          <w:tab w:val="left" w:pos="2970"/>
          <w:tab w:val="left" w:pos="5220"/>
          <w:tab w:val="left" w:pos="6480"/>
          <w:tab w:val="left" w:pos="8190"/>
        </w:tabs>
        <w:rPr>
          <w:rFonts w:ascii="Arial" w:hAnsi="Arial"/>
          <w:sz w:val="22"/>
        </w:rPr>
      </w:pPr>
    </w:p>
    <w:p w:rsidR="002A0DF6" w:rsidRDefault="002A0DF6">
      <w:pPr>
        <w:tabs>
          <w:tab w:val="left" w:pos="1710"/>
          <w:tab w:val="left" w:pos="3240"/>
          <w:tab w:val="left" w:pos="4860"/>
          <w:tab w:val="left" w:pos="5760"/>
        </w:tabs>
        <w:rPr>
          <w:rFonts w:ascii="Arial" w:hAnsi="Arial"/>
          <w:sz w:val="22"/>
        </w:rPr>
      </w:pPr>
    </w:p>
    <w:p w:rsidR="007146A6" w:rsidRDefault="007146A6" w:rsidP="007146A6">
      <w:pPr>
        <w:tabs>
          <w:tab w:val="left" w:pos="1296"/>
          <w:tab w:val="left" w:pos="5040"/>
          <w:tab w:val="left" w:pos="6840"/>
        </w:tabs>
        <w:rPr>
          <w:rFonts w:ascii="Arial" w:hAnsi="Arial"/>
          <w:b/>
          <w:sz w:val="22"/>
        </w:rPr>
      </w:pPr>
      <w:r>
        <w:rPr>
          <w:rFonts w:ascii="Arial" w:hAnsi="Arial"/>
          <w:b/>
          <w:sz w:val="22"/>
        </w:rPr>
        <w:t>Committee on Appropriations</w:t>
      </w:r>
    </w:p>
    <w:p w:rsidR="007146A6" w:rsidRDefault="007146A6" w:rsidP="007146A6">
      <w:pPr>
        <w:tabs>
          <w:tab w:val="left" w:pos="1296"/>
          <w:tab w:val="left" w:pos="5040"/>
          <w:tab w:val="left" w:pos="6840"/>
        </w:tabs>
        <w:rPr>
          <w:rFonts w:ascii="Arial" w:hAnsi="Arial"/>
          <w:b/>
          <w:sz w:val="22"/>
        </w:rPr>
      </w:pPr>
      <w:r>
        <w:rPr>
          <w:rFonts w:ascii="Arial" w:hAnsi="Arial"/>
          <w:b/>
          <w:sz w:val="22"/>
        </w:rPr>
        <w:t>Chairman:</w:t>
      </w:r>
      <w:r>
        <w:rPr>
          <w:rFonts w:ascii="Arial" w:hAnsi="Arial"/>
          <w:b/>
          <w:sz w:val="22"/>
        </w:rPr>
        <w:tab/>
        <w:t>David Livingston, LD22</w:t>
      </w:r>
      <w:r>
        <w:rPr>
          <w:rFonts w:ascii="Arial" w:hAnsi="Arial"/>
          <w:b/>
          <w:sz w:val="22"/>
        </w:rPr>
        <w:tab/>
        <w:t>Vice Chairman:</w:t>
      </w:r>
      <w:r>
        <w:rPr>
          <w:rFonts w:ascii="Arial" w:hAnsi="Arial"/>
          <w:b/>
          <w:sz w:val="22"/>
        </w:rPr>
        <w:tab/>
        <w:t>Vince Leach, LD11</w:t>
      </w:r>
    </w:p>
    <w:p w:rsidR="007146A6" w:rsidRDefault="007146A6" w:rsidP="007146A6">
      <w:pPr>
        <w:tabs>
          <w:tab w:val="left" w:pos="1296"/>
          <w:tab w:val="left" w:pos="5040"/>
          <w:tab w:val="left" w:pos="6840"/>
        </w:tabs>
        <w:rPr>
          <w:rFonts w:ascii="Arial" w:hAnsi="Arial"/>
          <w:b/>
          <w:sz w:val="22"/>
        </w:rPr>
      </w:pPr>
      <w:r>
        <w:rPr>
          <w:rFonts w:ascii="Arial" w:hAnsi="Arial"/>
          <w:b/>
          <w:sz w:val="22"/>
        </w:rPr>
        <w:t>Analyst:</w:t>
      </w:r>
      <w:r>
        <w:rPr>
          <w:rFonts w:ascii="Arial" w:hAnsi="Arial"/>
          <w:b/>
          <w:sz w:val="22"/>
        </w:rPr>
        <w:tab/>
        <w:t>Jennifer Thomsen</w:t>
      </w:r>
      <w:r>
        <w:rPr>
          <w:rFonts w:ascii="Arial" w:hAnsi="Arial"/>
          <w:b/>
          <w:sz w:val="22"/>
        </w:rPr>
        <w:tab/>
        <w:t>Intern:</w:t>
      </w:r>
      <w:r>
        <w:rPr>
          <w:rFonts w:ascii="Arial" w:hAnsi="Arial"/>
          <w:b/>
          <w:sz w:val="22"/>
        </w:rPr>
        <w:tab/>
        <w:t>Adam Ciampaglio</w:t>
      </w:r>
    </w:p>
    <w:p w:rsidR="007146A6" w:rsidRPr="007146A6" w:rsidRDefault="007146A6" w:rsidP="007146A6">
      <w:pPr>
        <w:keepNext/>
        <w:rPr>
          <w:rFonts w:ascii="Arial" w:hAnsi="Arial"/>
          <w:b/>
          <w:sz w:val="22"/>
        </w:rPr>
      </w:pPr>
    </w:p>
    <w:p w:rsidR="007146A6" w:rsidRDefault="00506288" w:rsidP="008826FD">
      <w:pPr>
        <w:tabs>
          <w:tab w:val="left" w:pos="1728"/>
        </w:tabs>
        <w:rPr>
          <w:rFonts w:ascii="Arial" w:hAnsi="Arial"/>
          <w:sz w:val="22"/>
        </w:rPr>
      </w:pPr>
      <w:hyperlink w:anchor="Sb1140" w:history="1">
        <w:r w:rsidR="007146A6" w:rsidRPr="00506288">
          <w:rPr>
            <w:rStyle w:val="Hyperlink"/>
            <w:rFonts w:ascii="Arial" w:hAnsi="Arial"/>
            <w:sz w:val="22"/>
          </w:rPr>
          <w:t>SB 1140</w:t>
        </w:r>
      </w:hyperlink>
      <w:r w:rsidR="007146A6">
        <w:rPr>
          <w:rFonts w:ascii="Arial" w:hAnsi="Arial"/>
          <w:sz w:val="22"/>
        </w:rPr>
        <w:tab/>
        <w:t>state land department; continuation.</w:t>
      </w:r>
    </w:p>
    <w:p w:rsidR="007146A6" w:rsidRDefault="007146A6" w:rsidP="008826FD">
      <w:pPr>
        <w:tabs>
          <w:tab w:val="left" w:pos="1728"/>
        </w:tabs>
        <w:rPr>
          <w:rFonts w:ascii="Arial" w:hAnsi="Arial"/>
          <w:sz w:val="22"/>
        </w:rPr>
      </w:pPr>
      <w:r>
        <w:rPr>
          <w:rFonts w:ascii="Arial" w:hAnsi="Arial"/>
          <w:sz w:val="22"/>
        </w:rPr>
        <w:tab/>
        <w:t xml:space="preserve">  (APPROP S/E: certificates of authority; video service)</w:t>
      </w:r>
    </w:p>
    <w:p w:rsidR="007146A6" w:rsidRDefault="007146A6" w:rsidP="008826FD">
      <w:pPr>
        <w:tabs>
          <w:tab w:val="left" w:pos="1728"/>
          <w:tab w:val="left" w:pos="3528"/>
          <w:tab w:val="left" w:pos="5598"/>
          <w:tab w:val="left" w:pos="6678"/>
          <w:tab w:val="left" w:pos="8028"/>
        </w:tabs>
        <w:ind w:left="288"/>
        <w:rPr>
          <w:rFonts w:ascii="Arial" w:hAnsi="Arial"/>
          <w:sz w:val="22"/>
        </w:rPr>
      </w:pPr>
      <w:r>
        <w:rPr>
          <w:rFonts w:ascii="Arial" w:hAnsi="Arial"/>
          <w:sz w:val="22"/>
        </w:rPr>
        <w:t>SPONSOR:</w:t>
      </w:r>
      <w:r>
        <w:rPr>
          <w:rFonts w:ascii="Arial" w:hAnsi="Arial"/>
          <w:sz w:val="22"/>
        </w:rPr>
        <w:tab/>
        <w:t>GRIFFIN, LD14</w:t>
      </w:r>
      <w:r>
        <w:rPr>
          <w:rFonts w:ascii="Arial" w:hAnsi="Arial"/>
          <w:sz w:val="22"/>
        </w:rPr>
        <w:tab/>
      </w:r>
      <w:r>
        <w:rPr>
          <w:rFonts w:ascii="Arial" w:hAnsi="Arial"/>
          <w:sz w:val="22"/>
        </w:rPr>
        <w:tab/>
      </w:r>
      <w:r>
        <w:rPr>
          <w:rFonts w:ascii="Arial" w:hAnsi="Arial"/>
          <w:sz w:val="22"/>
        </w:rPr>
        <w:tab/>
      </w:r>
      <w:r>
        <w:rPr>
          <w:rFonts w:ascii="Arial" w:hAnsi="Arial"/>
          <w:sz w:val="22"/>
        </w:rPr>
        <w:tab/>
      </w:r>
    </w:p>
    <w:p w:rsidR="007146A6" w:rsidRDefault="007146A6" w:rsidP="008826FD">
      <w:pPr>
        <w:tabs>
          <w:tab w:val="left" w:pos="1728"/>
          <w:tab w:val="left" w:pos="3528"/>
          <w:tab w:val="left" w:pos="5598"/>
          <w:tab w:val="left" w:pos="6678"/>
          <w:tab w:val="left" w:pos="8028"/>
        </w:tabs>
        <w:ind w:left="288"/>
        <w:rPr>
          <w:rFonts w:ascii="Arial" w:hAnsi="Arial"/>
          <w:sz w:val="22"/>
        </w:rPr>
      </w:pPr>
      <w:r>
        <w:rPr>
          <w:rFonts w:ascii="Arial" w:hAnsi="Arial"/>
          <w:sz w:val="22"/>
        </w:rPr>
        <w:tab/>
      </w:r>
      <w:r>
        <w:rPr>
          <w:rFonts w:ascii="Arial" w:hAnsi="Arial"/>
          <w:sz w:val="22"/>
        </w:rPr>
        <w:tab/>
        <w:t>SENATE</w:t>
      </w:r>
      <w:r>
        <w:rPr>
          <w:rFonts w:ascii="Arial" w:hAnsi="Arial"/>
          <w:sz w:val="22"/>
        </w:rPr>
        <w:tab/>
        <w:t>2/13/2018</w:t>
      </w:r>
      <w:r>
        <w:rPr>
          <w:rFonts w:ascii="Arial" w:hAnsi="Arial"/>
          <w:sz w:val="22"/>
        </w:rPr>
        <w:tab/>
      </w:r>
      <w:r>
        <w:rPr>
          <w:rFonts w:ascii="Arial" w:hAnsi="Arial"/>
          <w:sz w:val="22"/>
        </w:rPr>
        <w:tab/>
        <w:t>(29-1-0-0)</w:t>
      </w:r>
    </w:p>
    <w:p w:rsidR="007146A6" w:rsidRDefault="007146A6" w:rsidP="008826FD">
      <w:pPr>
        <w:ind w:left="3528"/>
        <w:rPr>
          <w:rFonts w:ascii="Arial" w:hAnsi="Arial"/>
          <w:sz w:val="22"/>
        </w:rPr>
      </w:pPr>
      <w:r>
        <w:rPr>
          <w:rFonts w:ascii="Arial" w:hAnsi="Arial"/>
          <w:sz w:val="22"/>
        </w:rPr>
        <w:t>(No: BURGES)</w:t>
      </w:r>
    </w:p>
    <w:p w:rsidR="007146A6" w:rsidRDefault="007146A6" w:rsidP="008826FD">
      <w:pPr>
        <w:tabs>
          <w:tab w:val="left" w:pos="1728"/>
          <w:tab w:val="left" w:pos="3528"/>
          <w:tab w:val="left" w:pos="5598"/>
          <w:tab w:val="left" w:pos="6678"/>
          <w:tab w:val="left" w:pos="8028"/>
        </w:tabs>
        <w:ind w:left="288"/>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7146A6" w:rsidRDefault="007146A6" w:rsidP="008826FD">
      <w:pPr>
        <w:tabs>
          <w:tab w:val="left" w:pos="1728"/>
          <w:tab w:val="left" w:pos="3528"/>
          <w:tab w:val="left" w:pos="5598"/>
          <w:tab w:val="left" w:pos="6678"/>
          <w:tab w:val="left" w:pos="8028"/>
        </w:tabs>
        <w:ind w:left="288"/>
        <w:rPr>
          <w:rFonts w:ascii="Arial" w:hAnsi="Arial"/>
          <w:sz w:val="22"/>
        </w:rPr>
      </w:pPr>
      <w:r>
        <w:rPr>
          <w:rFonts w:ascii="Arial" w:hAnsi="Arial"/>
          <w:sz w:val="22"/>
        </w:rPr>
        <w:tab/>
      </w:r>
      <w:r>
        <w:rPr>
          <w:rFonts w:ascii="Arial" w:hAnsi="Arial"/>
          <w:sz w:val="22"/>
        </w:rPr>
        <w:tab/>
        <w:t>APPROP</w:t>
      </w:r>
      <w:r>
        <w:rPr>
          <w:rFonts w:ascii="Arial" w:hAnsi="Arial"/>
          <w:sz w:val="22"/>
        </w:rPr>
        <w:tab/>
        <w:t>3/28</w:t>
      </w:r>
      <w:r>
        <w:rPr>
          <w:rFonts w:ascii="Arial" w:hAnsi="Arial"/>
          <w:sz w:val="22"/>
        </w:rPr>
        <w:tab/>
        <w:t>DPA/SE</w:t>
      </w:r>
      <w:r>
        <w:rPr>
          <w:rFonts w:ascii="Arial" w:hAnsi="Arial"/>
          <w:sz w:val="22"/>
        </w:rPr>
        <w:tab/>
        <w:t>(9-4-0-0-0)</w:t>
      </w:r>
    </w:p>
    <w:p w:rsidR="007146A6" w:rsidRDefault="007146A6" w:rsidP="007146A6">
      <w:pPr>
        <w:keepNext/>
        <w:ind w:left="3528"/>
        <w:rPr>
          <w:rFonts w:ascii="Arial" w:hAnsi="Arial"/>
          <w:sz w:val="22"/>
        </w:rPr>
      </w:pPr>
      <w:r>
        <w:rPr>
          <w:rFonts w:ascii="Arial" w:hAnsi="Arial"/>
          <w:sz w:val="22"/>
        </w:rPr>
        <w:t xml:space="preserve">(No: </w:t>
      </w:r>
      <w:proofErr w:type="gramStart"/>
      <w:r>
        <w:rPr>
          <w:rFonts w:ascii="Arial" w:hAnsi="Arial"/>
          <w:sz w:val="22"/>
        </w:rPr>
        <w:t>CARDENAS,CLARK</w:t>
      </w:r>
      <w:proofErr w:type="gramEnd"/>
      <w:r>
        <w:rPr>
          <w:rFonts w:ascii="Arial" w:hAnsi="Arial"/>
          <w:sz w:val="22"/>
        </w:rPr>
        <w:t>,FERNANDEZ,FRIESE)</w:t>
      </w:r>
    </w:p>
    <w:p w:rsidR="007146A6" w:rsidRPr="007146A6" w:rsidRDefault="00506288" w:rsidP="008826FD">
      <w:pPr>
        <w:tabs>
          <w:tab w:val="left" w:pos="1728"/>
        </w:tabs>
        <w:rPr>
          <w:rFonts w:ascii="Arial" w:hAnsi="Arial"/>
          <w:sz w:val="22"/>
        </w:rPr>
      </w:pPr>
      <w:hyperlink w:anchor="sb1196" w:history="1">
        <w:r w:rsidR="007146A6" w:rsidRPr="00506288">
          <w:rPr>
            <w:rStyle w:val="Hyperlink"/>
            <w:rFonts w:ascii="Arial" w:hAnsi="Arial"/>
            <w:sz w:val="22"/>
          </w:rPr>
          <w:t>SB 1196</w:t>
        </w:r>
      </w:hyperlink>
      <w:r w:rsidR="007146A6">
        <w:rPr>
          <w:rFonts w:ascii="Arial" w:hAnsi="Arial"/>
          <w:sz w:val="22"/>
        </w:rPr>
        <w:tab/>
      </w:r>
      <w:r w:rsidR="007146A6">
        <w:rPr>
          <w:rFonts w:ascii="Arial" w:hAnsi="Arial"/>
          <w:strike/>
          <w:sz w:val="22"/>
        </w:rPr>
        <w:t>technical correction; food standards</w:t>
      </w:r>
    </w:p>
    <w:p w:rsidR="007146A6" w:rsidRPr="007146A6" w:rsidRDefault="007146A6" w:rsidP="008826FD">
      <w:pPr>
        <w:tabs>
          <w:tab w:val="left" w:pos="1728"/>
        </w:tabs>
        <w:rPr>
          <w:rFonts w:ascii="Arial" w:hAnsi="Arial"/>
          <w:sz w:val="22"/>
        </w:rPr>
      </w:pPr>
      <w:r>
        <w:rPr>
          <w:rFonts w:ascii="Arial" w:hAnsi="Arial"/>
          <w:sz w:val="22"/>
        </w:rPr>
        <w:tab/>
      </w:r>
      <w:r>
        <w:rPr>
          <w:rFonts w:ascii="Arial" w:hAnsi="Arial"/>
          <w:strike/>
          <w:sz w:val="22"/>
        </w:rPr>
        <w:t xml:space="preserve">  (Now:  developmental homes; monitoring)</w:t>
      </w:r>
    </w:p>
    <w:p w:rsidR="007146A6" w:rsidRDefault="007146A6" w:rsidP="008826FD">
      <w:pPr>
        <w:tabs>
          <w:tab w:val="left" w:pos="1728"/>
        </w:tabs>
        <w:rPr>
          <w:rFonts w:ascii="Arial" w:hAnsi="Arial"/>
          <w:sz w:val="22"/>
        </w:rPr>
      </w:pPr>
      <w:r>
        <w:rPr>
          <w:rFonts w:ascii="Arial" w:hAnsi="Arial"/>
          <w:sz w:val="22"/>
        </w:rPr>
        <w:tab/>
        <w:t xml:space="preserve">  (APPROP S/E: charter school enrollment preference)</w:t>
      </w:r>
    </w:p>
    <w:p w:rsidR="007146A6" w:rsidRDefault="007146A6" w:rsidP="008826FD">
      <w:pPr>
        <w:tabs>
          <w:tab w:val="left" w:pos="1728"/>
          <w:tab w:val="left" w:pos="3528"/>
          <w:tab w:val="left" w:pos="5598"/>
          <w:tab w:val="left" w:pos="6678"/>
          <w:tab w:val="left" w:pos="8028"/>
        </w:tabs>
        <w:ind w:left="288"/>
        <w:rPr>
          <w:rFonts w:ascii="Arial" w:hAnsi="Arial"/>
          <w:sz w:val="22"/>
        </w:rPr>
      </w:pPr>
      <w:r>
        <w:rPr>
          <w:rFonts w:ascii="Arial" w:hAnsi="Arial"/>
          <w:sz w:val="22"/>
        </w:rPr>
        <w:t>SPONSOR:</w:t>
      </w:r>
      <w:r>
        <w:rPr>
          <w:rFonts w:ascii="Arial" w:hAnsi="Arial"/>
          <w:sz w:val="22"/>
        </w:rPr>
        <w:tab/>
        <w:t>BARTO, LD15</w:t>
      </w:r>
      <w:r>
        <w:rPr>
          <w:rFonts w:ascii="Arial" w:hAnsi="Arial"/>
          <w:sz w:val="22"/>
        </w:rPr>
        <w:tab/>
      </w:r>
      <w:r>
        <w:rPr>
          <w:rFonts w:ascii="Arial" w:hAnsi="Arial"/>
          <w:sz w:val="22"/>
        </w:rPr>
        <w:tab/>
      </w:r>
      <w:r>
        <w:rPr>
          <w:rFonts w:ascii="Arial" w:hAnsi="Arial"/>
          <w:sz w:val="22"/>
        </w:rPr>
        <w:tab/>
      </w:r>
      <w:r>
        <w:rPr>
          <w:rFonts w:ascii="Arial" w:hAnsi="Arial"/>
          <w:sz w:val="22"/>
        </w:rPr>
        <w:tab/>
      </w:r>
    </w:p>
    <w:p w:rsidR="007146A6" w:rsidRDefault="007146A6" w:rsidP="008826FD">
      <w:pPr>
        <w:tabs>
          <w:tab w:val="left" w:pos="1728"/>
          <w:tab w:val="left" w:pos="3528"/>
          <w:tab w:val="left" w:pos="5598"/>
          <w:tab w:val="left" w:pos="6678"/>
          <w:tab w:val="left" w:pos="8028"/>
        </w:tabs>
        <w:ind w:left="288"/>
        <w:rPr>
          <w:rFonts w:ascii="Arial" w:hAnsi="Arial"/>
          <w:sz w:val="22"/>
        </w:rPr>
      </w:pPr>
      <w:r>
        <w:rPr>
          <w:rFonts w:ascii="Arial" w:hAnsi="Arial"/>
          <w:sz w:val="22"/>
        </w:rPr>
        <w:tab/>
      </w:r>
      <w:r>
        <w:rPr>
          <w:rFonts w:ascii="Arial" w:hAnsi="Arial"/>
          <w:sz w:val="22"/>
        </w:rPr>
        <w:tab/>
        <w:t>SENATE</w:t>
      </w:r>
      <w:r>
        <w:rPr>
          <w:rFonts w:ascii="Arial" w:hAnsi="Arial"/>
          <w:sz w:val="22"/>
        </w:rPr>
        <w:tab/>
        <w:t>2/27/2018</w:t>
      </w:r>
      <w:r>
        <w:rPr>
          <w:rFonts w:ascii="Arial" w:hAnsi="Arial"/>
          <w:sz w:val="22"/>
        </w:rPr>
        <w:tab/>
      </w:r>
      <w:r>
        <w:rPr>
          <w:rFonts w:ascii="Arial" w:hAnsi="Arial"/>
          <w:sz w:val="22"/>
        </w:rPr>
        <w:tab/>
        <w:t>(30-0-0-0)</w:t>
      </w:r>
    </w:p>
    <w:p w:rsidR="007146A6" w:rsidRDefault="007146A6" w:rsidP="008826FD">
      <w:pPr>
        <w:tabs>
          <w:tab w:val="left" w:pos="1728"/>
          <w:tab w:val="left" w:pos="3528"/>
          <w:tab w:val="left" w:pos="5598"/>
          <w:tab w:val="left" w:pos="6678"/>
          <w:tab w:val="left" w:pos="8028"/>
        </w:tabs>
        <w:ind w:left="288"/>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7146A6" w:rsidRDefault="007146A6" w:rsidP="008826FD">
      <w:pPr>
        <w:tabs>
          <w:tab w:val="left" w:pos="1728"/>
          <w:tab w:val="left" w:pos="3528"/>
          <w:tab w:val="left" w:pos="5598"/>
          <w:tab w:val="left" w:pos="6678"/>
          <w:tab w:val="left" w:pos="8028"/>
        </w:tabs>
        <w:ind w:left="288"/>
        <w:rPr>
          <w:rFonts w:ascii="Arial" w:hAnsi="Arial"/>
          <w:sz w:val="22"/>
        </w:rPr>
      </w:pPr>
      <w:r>
        <w:rPr>
          <w:rFonts w:ascii="Arial" w:hAnsi="Arial"/>
          <w:sz w:val="22"/>
        </w:rPr>
        <w:tab/>
      </w:r>
      <w:r>
        <w:rPr>
          <w:rFonts w:ascii="Arial" w:hAnsi="Arial"/>
          <w:sz w:val="22"/>
        </w:rPr>
        <w:tab/>
        <w:t>APPROP</w:t>
      </w:r>
      <w:r>
        <w:rPr>
          <w:rFonts w:ascii="Arial" w:hAnsi="Arial"/>
          <w:sz w:val="22"/>
        </w:rPr>
        <w:tab/>
        <w:t>3/28</w:t>
      </w:r>
      <w:r>
        <w:rPr>
          <w:rFonts w:ascii="Arial" w:hAnsi="Arial"/>
          <w:sz w:val="22"/>
        </w:rPr>
        <w:tab/>
        <w:t>DPA/SE</w:t>
      </w:r>
      <w:r>
        <w:rPr>
          <w:rFonts w:ascii="Arial" w:hAnsi="Arial"/>
          <w:sz w:val="22"/>
        </w:rPr>
        <w:tab/>
        <w:t>(8-5-0-0-0)</w:t>
      </w:r>
    </w:p>
    <w:p w:rsidR="007146A6" w:rsidRDefault="007146A6" w:rsidP="007146A6">
      <w:pPr>
        <w:ind w:left="3528"/>
        <w:rPr>
          <w:rFonts w:ascii="Arial" w:hAnsi="Arial"/>
          <w:sz w:val="22"/>
        </w:rPr>
      </w:pPr>
      <w:r>
        <w:rPr>
          <w:rFonts w:ascii="Arial" w:hAnsi="Arial"/>
          <w:sz w:val="22"/>
        </w:rPr>
        <w:t xml:space="preserve">(No: </w:t>
      </w:r>
      <w:proofErr w:type="gramStart"/>
      <w:r>
        <w:rPr>
          <w:rFonts w:ascii="Arial" w:hAnsi="Arial"/>
          <w:sz w:val="22"/>
        </w:rPr>
        <w:t>ALSTON,CARDENAS</w:t>
      </w:r>
      <w:proofErr w:type="gramEnd"/>
      <w:r>
        <w:rPr>
          <w:rFonts w:ascii="Arial" w:hAnsi="Arial"/>
          <w:sz w:val="22"/>
        </w:rPr>
        <w:t>,CLARK,FERNANDEZ,FRIESE)</w:t>
      </w:r>
    </w:p>
    <w:p w:rsidR="007146A6" w:rsidRDefault="007146A6">
      <w:pPr>
        <w:tabs>
          <w:tab w:val="left" w:pos="1710"/>
          <w:tab w:val="left" w:pos="3240"/>
          <w:tab w:val="left" w:pos="4860"/>
          <w:tab w:val="left" w:pos="5760"/>
        </w:tabs>
        <w:rPr>
          <w:rFonts w:ascii="Arial" w:hAnsi="Arial"/>
          <w:sz w:val="22"/>
        </w:rPr>
      </w:pPr>
    </w:p>
    <w:p w:rsidR="007146A6" w:rsidRDefault="007146A6" w:rsidP="007146A6">
      <w:pPr>
        <w:tabs>
          <w:tab w:val="left" w:pos="1296"/>
          <w:tab w:val="left" w:pos="5040"/>
          <w:tab w:val="left" w:pos="6840"/>
        </w:tabs>
        <w:rPr>
          <w:rFonts w:ascii="Arial" w:hAnsi="Arial"/>
          <w:b/>
          <w:sz w:val="22"/>
        </w:rPr>
      </w:pPr>
      <w:r>
        <w:rPr>
          <w:rFonts w:ascii="Arial" w:hAnsi="Arial"/>
          <w:b/>
          <w:sz w:val="22"/>
        </w:rPr>
        <w:t>Committee on Commerce</w:t>
      </w:r>
    </w:p>
    <w:p w:rsidR="007146A6" w:rsidRDefault="007146A6" w:rsidP="007146A6">
      <w:pPr>
        <w:tabs>
          <w:tab w:val="left" w:pos="1296"/>
          <w:tab w:val="left" w:pos="5040"/>
          <w:tab w:val="left" w:pos="6840"/>
        </w:tabs>
        <w:rPr>
          <w:rFonts w:ascii="Arial" w:hAnsi="Arial"/>
          <w:b/>
          <w:sz w:val="22"/>
        </w:rPr>
      </w:pPr>
      <w:r>
        <w:rPr>
          <w:rFonts w:ascii="Arial" w:hAnsi="Arial"/>
          <w:b/>
          <w:sz w:val="22"/>
        </w:rPr>
        <w:t>Chairman:</w:t>
      </w:r>
      <w:r>
        <w:rPr>
          <w:rFonts w:ascii="Arial" w:hAnsi="Arial"/>
          <w:b/>
          <w:sz w:val="22"/>
        </w:rPr>
        <w:tab/>
        <w:t>Jeff Weninger, LD17</w:t>
      </w:r>
      <w:r>
        <w:rPr>
          <w:rFonts w:ascii="Arial" w:hAnsi="Arial"/>
          <w:b/>
          <w:sz w:val="22"/>
        </w:rPr>
        <w:tab/>
        <w:t>Vice Chairman:</w:t>
      </w:r>
      <w:r>
        <w:rPr>
          <w:rFonts w:ascii="Arial" w:hAnsi="Arial"/>
          <w:b/>
          <w:sz w:val="22"/>
        </w:rPr>
        <w:tab/>
        <w:t>Jill Norgaard, LD18</w:t>
      </w:r>
    </w:p>
    <w:p w:rsidR="007146A6" w:rsidRDefault="007146A6" w:rsidP="007146A6">
      <w:pPr>
        <w:tabs>
          <w:tab w:val="left" w:pos="1296"/>
          <w:tab w:val="left" w:pos="5040"/>
          <w:tab w:val="left" w:pos="6840"/>
        </w:tabs>
        <w:rPr>
          <w:rFonts w:ascii="Arial" w:hAnsi="Arial"/>
          <w:b/>
          <w:sz w:val="22"/>
        </w:rPr>
      </w:pPr>
      <w:r>
        <w:rPr>
          <w:rFonts w:ascii="Arial" w:hAnsi="Arial"/>
          <w:b/>
          <w:sz w:val="22"/>
        </w:rPr>
        <w:t>Analyst:</w:t>
      </w:r>
      <w:r>
        <w:rPr>
          <w:rFonts w:ascii="Arial" w:hAnsi="Arial"/>
          <w:b/>
          <w:sz w:val="22"/>
        </w:rPr>
        <w:tab/>
        <w:t>Diana Clay</w:t>
      </w:r>
      <w:r>
        <w:rPr>
          <w:rFonts w:ascii="Arial" w:hAnsi="Arial"/>
          <w:b/>
          <w:sz w:val="22"/>
        </w:rPr>
        <w:tab/>
        <w:t>Intern:</w:t>
      </w:r>
      <w:r>
        <w:rPr>
          <w:rFonts w:ascii="Arial" w:hAnsi="Arial"/>
          <w:b/>
          <w:sz w:val="22"/>
        </w:rPr>
        <w:tab/>
        <w:t>Josefina Torres</w:t>
      </w:r>
    </w:p>
    <w:p w:rsidR="007146A6" w:rsidRPr="007146A6" w:rsidRDefault="007146A6" w:rsidP="007146A6">
      <w:pPr>
        <w:keepNext/>
        <w:rPr>
          <w:rFonts w:ascii="Arial" w:hAnsi="Arial"/>
          <w:b/>
          <w:sz w:val="22"/>
        </w:rPr>
      </w:pPr>
    </w:p>
    <w:p w:rsidR="007146A6" w:rsidRDefault="00506288" w:rsidP="008826FD">
      <w:pPr>
        <w:tabs>
          <w:tab w:val="left" w:pos="1728"/>
        </w:tabs>
        <w:rPr>
          <w:rFonts w:ascii="Arial" w:hAnsi="Arial"/>
          <w:sz w:val="22"/>
        </w:rPr>
      </w:pPr>
      <w:hyperlink w:anchor="sb1398" w:history="1">
        <w:r w:rsidR="007146A6" w:rsidRPr="00506288">
          <w:rPr>
            <w:rStyle w:val="Hyperlink"/>
            <w:rFonts w:ascii="Arial" w:hAnsi="Arial"/>
            <w:sz w:val="22"/>
          </w:rPr>
          <w:t>SB 1398</w:t>
        </w:r>
      </w:hyperlink>
      <w:r w:rsidR="007146A6">
        <w:rPr>
          <w:rFonts w:ascii="Arial" w:hAnsi="Arial"/>
          <w:sz w:val="22"/>
        </w:rPr>
        <w:tab/>
        <w:t>unemployment; return-to-work program; suitable work</w:t>
      </w:r>
    </w:p>
    <w:p w:rsidR="007146A6" w:rsidRDefault="007146A6" w:rsidP="008826FD">
      <w:pPr>
        <w:tabs>
          <w:tab w:val="left" w:pos="1728"/>
          <w:tab w:val="left" w:pos="3528"/>
          <w:tab w:val="left" w:pos="5598"/>
          <w:tab w:val="left" w:pos="6678"/>
          <w:tab w:val="left" w:pos="8028"/>
        </w:tabs>
        <w:ind w:left="288"/>
        <w:rPr>
          <w:rFonts w:ascii="Arial" w:hAnsi="Arial"/>
          <w:sz w:val="22"/>
        </w:rPr>
      </w:pPr>
      <w:r>
        <w:rPr>
          <w:rFonts w:ascii="Arial" w:hAnsi="Arial"/>
          <w:sz w:val="22"/>
        </w:rPr>
        <w:t>SPONSOR:</w:t>
      </w:r>
      <w:r>
        <w:rPr>
          <w:rFonts w:ascii="Arial" w:hAnsi="Arial"/>
          <w:sz w:val="22"/>
        </w:rPr>
        <w:tab/>
        <w:t>SMITH, LD11</w:t>
      </w:r>
      <w:r>
        <w:rPr>
          <w:rFonts w:ascii="Arial" w:hAnsi="Arial"/>
          <w:sz w:val="22"/>
        </w:rPr>
        <w:tab/>
      </w:r>
      <w:r>
        <w:rPr>
          <w:rFonts w:ascii="Arial" w:hAnsi="Arial"/>
          <w:sz w:val="22"/>
        </w:rPr>
        <w:tab/>
      </w:r>
      <w:r>
        <w:rPr>
          <w:rFonts w:ascii="Arial" w:hAnsi="Arial"/>
          <w:sz w:val="22"/>
        </w:rPr>
        <w:tab/>
      </w:r>
      <w:r>
        <w:rPr>
          <w:rFonts w:ascii="Arial" w:hAnsi="Arial"/>
          <w:sz w:val="22"/>
        </w:rPr>
        <w:tab/>
      </w:r>
    </w:p>
    <w:p w:rsidR="007146A6" w:rsidRDefault="007146A6" w:rsidP="008826FD">
      <w:pPr>
        <w:tabs>
          <w:tab w:val="left" w:pos="1728"/>
          <w:tab w:val="left" w:pos="3528"/>
          <w:tab w:val="left" w:pos="5598"/>
          <w:tab w:val="left" w:pos="6678"/>
          <w:tab w:val="left" w:pos="8028"/>
        </w:tabs>
        <w:ind w:left="288"/>
        <w:rPr>
          <w:rFonts w:ascii="Arial" w:hAnsi="Arial"/>
          <w:sz w:val="22"/>
        </w:rPr>
      </w:pPr>
      <w:r>
        <w:rPr>
          <w:rFonts w:ascii="Arial" w:hAnsi="Arial"/>
          <w:sz w:val="22"/>
        </w:rPr>
        <w:tab/>
      </w:r>
      <w:r>
        <w:rPr>
          <w:rFonts w:ascii="Arial" w:hAnsi="Arial"/>
          <w:sz w:val="22"/>
        </w:rPr>
        <w:tab/>
        <w:t>SENATE</w:t>
      </w:r>
      <w:r>
        <w:rPr>
          <w:rFonts w:ascii="Arial" w:hAnsi="Arial"/>
          <w:sz w:val="22"/>
        </w:rPr>
        <w:tab/>
        <w:t>3/1/2018</w:t>
      </w:r>
      <w:r>
        <w:rPr>
          <w:rFonts w:ascii="Arial" w:hAnsi="Arial"/>
          <w:sz w:val="22"/>
        </w:rPr>
        <w:tab/>
      </w:r>
      <w:r>
        <w:rPr>
          <w:rFonts w:ascii="Arial" w:hAnsi="Arial"/>
          <w:sz w:val="22"/>
        </w:rPr>
        <w:tab/>
        <w:t>(21-9-0-0)</w:t>
      </w:r>
    </w:p>
    <w:p w:rsidR="007146A6" w:rsidRDefault="007146A6" w:rsidP="008826FD">
      <w:pPr>
        <w:ind w:left="3528"/>
        <w:rPr>
          <w:rFonts w:ascii="Arial" w:hAnsi="Arial"/>
          <w:sz w:val="22"/>
        </w:rPr>
      </w:pPr>
      <w:r>
        <w:rPr>
          <w:rFonts w:ascii="Arial" w:hAnsi="Arial"/>
          <w:sz w:val="22"/>
        </w:rPr>
        <w:t xml:space="preserve">(No: </w:t>
      </w:r>
      <w:proofErr w:type="gramStart"/>
      <w:r>
        <w:rPr>
          <w:rFonts w:ascii="Arial" w:hAnsi="Arial"/>
          <w:sz w:val="22"/>
        </w:rPr>
        <w:t>DALESSANDRO,PESHLAKAI</w:t>
      </w:r>
      <w:proofErr w:type="gramEnd"/>
      <w:r>
        <w:rPr>
          <w:rFonts w:ascii="Arial" w:hAnsi="Arial"/>
          <w:sz w:val="22"/>
        </w:rPr>
        <w:t>,FARLEY,BRADLEY,CONTRERAS,HOBBS,MENDEZ,MIRANDA,QUEZADA)</w:t>
      </w:r>
    </w:p>
    <w:p w:rsidR="007146A6" w:rsidRDefault="007146A6" w:rsidP="008826FD">
      <w:pPr>
        <w:tabs>
          <w:tab w:val="left" w:pos="1728"/>
          <w:tab w:val="left" w:pos="3528"/>
          <w:tab w:val="left" w:pos="5598"/>
          <w:tab w:val="left" w:pos="6678"/>
          <w:tab w:val="left" w:pos="8028"/>
        </w:tabs>
        <w:ind w:left="288"/>
        <w:rPr>
          <w:rFonts w:ascii="Arial" w:hAnsi="Arial"/>
          <w:sz w:val="22"/>
        </w:rPr>
      </w:pPr>
      <w:r>
        <w:rPr>
          <w:rFonts w:ascii="Arial" w:hAnsi="Arial"/>
          <w:sz w:val="22"/>
        </w:rPr>
        <w:tab/>
      </w:r>
      <w:r>
        <w:rPr>
          <w:rFonts w:ascii="Arial" w:hAnsi="Arial"/>
          <w:sz w:val="22"/>
        </w:rPr>
        <w:tab/>
        <w:t>COM</w:t>
      </w:r>
      <w:r>
        <w:rPr>
          <w:rFonts w:ascii="Arial" w:hAnsi="Arial"/>
          <w:sz w:val="22"/>
        </w:rPr>
        <w:tab/>
        <w:t>3/13</w:t>
      </w:r>
      <w:r>
        <w:rPr>
          <w:rFonts w:ascii="Arial" w:hAnsi="Arial"/>
          <w:sz w:val="22"/>
        </w:rPr>
        <w:tab/>
        <w:t>DPA</w:t>
      </w:r>
      <w:r>
        <w:rPr>
          <w:rFonts w:ascii="Arial" w:hAnsi="Arial"/>
          <w:sz w:val="22"/>
        </w:rPr>
        <w:tab/>
        <w:t>(6-3-0-0-0)</w:t>
      </w:r>
    </w:p>
    <w:p w:rsidR="007146A6" w:rsidRDefault="007146A6" w:rsidP="007146A6">
      <w:pPr>
        <w:ind w:left="3528"/>
        <w:rPr>
          <w:rFonts w:ascii="Arial" w:hAnsi="Arial"/>
          <w:sz w:val="22"/>
        </w:rPr>
      </w:pPr>
      <w:r>
        <w:rPr>
          <w:rFonts w:ascii="Arial" w:hAnsi="Arial"/>
          <w:sz w:val="22"/>
        </w:rPr>
        <w:t xml:space="preserve">(No: </w:t>
      </w:r>
      <w:proofErr w:type="gramStart"/>
      <w:r>
        <w:rPr>
          <w:rFonts w:ascii="Arial" w:hAnsi="Arial"/>
          <w:sz w:val="22"/>
        </w:rPr>
        <w:t>ESPINOZA,EPSTEIN</w:t>
      </w:r>
      <w:proofErr w:type="gramEnd"/>
      <w:r>
        <w:rPr>
          <w:rFonts w:ascii="Arial" w:hAnsi="Arial"/>
          <w:sz w:val="22"/>
        </w:rPr>
        <w:t>,CHÁVEZ)</w:t>
      </w:r>
    </w:p>
    <w:p w:rsidR="00030FBE" w:rsidRDefault="00030FBE">
      <w:pPr>
        <w:tabs>
          <w:tab w:val="left" w:pos="1710"/>
          <w:tab w:val="left" w:pos="3240"/>
          <w:tab w:val="left" w:pos="4860"/>
          <w:tab w:val="left" w:pos="5760"/>
        </w:tabs>
        <w:rPr>
          <w:rFonts w:ascii="Arial" w:hAnsi="Arial"/>
          <w:sz w:val="22"/>
        </w:rPr>
        <w:sectPr w:rsidR="00030FBE" w:rsidSect="001C7498">
          <w:footerReference w:type="default" r:id="rId7"/>
          <w:pgSz w:w="12240" w:h="15840"/>
          <w:pgMar w:top="720" w:right="720" w:bottom="1080" w:left="720" w:header="720" w:footer="720" w:gutter="0"/>
          <w:cols w:space="720"/>
        </w:sectPr>
      </w:pPr>
    </w:p>
    <w:p w:rsidR="00030FBE" w:rsidRDefault="00030FBE" w:rsidP="00030FBE">
      <w:pPr>
        <w:pStyle w:val="Heading1"/>
        <w:jc w:val="center"/>
      </w:pPr>
      <w:r>
        <w:rPr>
          <w:noProof/>
        </w:rPr>
        <w:lastRenderedPageBreak/>
        <w:drawing>
          <wp:anchor distT="0" distB="0" distL="114300" distR="114300" simplePos="0" relativeHeight="251646464" behindDoc="1" locked="0" layoutInCell="1" allowOverlap="1" wp14:anchorId="136CB2C6" wp14:editId="4C131219">
            <wp:simplePos x="0" y="0"/>
            <wp:positionH relativeFrom="column">
              <wp:posOffset>2362835</wp:posOffset>
            </wp:positionH>
            <wp:positionV relativeFrom="paragraph">
              <wp:posOffset>-322580</wp:posOffset>
            </wp:positionV>
            <wp:extent cx="1214755" cy="1165860"/>
            <wp:effectExtent l="0" t="0" r="0" b="0"/>
            <wp:wrapNone/>
            <wp:docPr id="5" name="Picture 5"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8"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8">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030FBE" w:rsidRDefault="00030FBE" w:rsidP="00030FBE">
      <w:pPr>
        <w:jc w:val="center"/>
        <w:sectPr w:rsidR="00030FBE" w:rsidSect="001C7498">
          <w:footerReference w:type="default" r:id="rId9"/>
          <w:pgSz w:w="12240" w:h="15840"/>
          <w:pgMar w:top="1080" w:right="1440" w:bottom="1440" w:left="1440" w:header="720" w:footer="720" w:gutter="0"/>
          <w:cols w:space="720"/>
          <w:docGrid w:linePitch="360"/>
        </w:sectPr>
      </w:pPr>
      <w:bookmarkStart w:id="2" w:name="Sb1140"/>
      <w:bookmarkEnd w:id="2"/>
    </w:p>
    <w:p w:rsidR="00030FBE" w:rsidRDefault="00030FBE" w:rsidP="00030FBE">
      <w:pPr>
        <w:rPr>
          <w:b/>
        </w:rPr>
      </w:pPr>
    </w:p>
    <w:tbl>
      <w:tblPr>
        <w:tblStyle w:val="TableGrid"/>
        <w:tblpPr w:leftFromText="180" w:rightFromText="180" w:vertAnchor="page" w:horzAnchor="margin" w:tblpY="234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25"/>
        <w:gridCol w:w="4770"/>
      </w:tblGrid>
      <w:tr w:rsidR="00030FBE" w:rsidTr="00030FBE">
        <w:tc>
          <w:tcPr>
            <w:tcW w:w="9895" w:type="dxa"/>
            <w:gridSpan w:val="2"/>
          </w:tcPr>
          <w:p w:rsidR="00030FBE" w:rsidRPr="002B09D5" w:rsidRDefault="00030FBE" w:rsidP="00030FBE">
            <w:pPr>
              <w:spacing w:after="120"/>
              <w:rPr>
                <w:rFonts w:ascii="Cambria" w:hAnsi="Cambria" w:cs="Arial"/>
                <w:noProof/>
                <w:sz w:val="28"/>
                <w:szCs w:val="28"/>
                <w:u w:val="single"/>
              </w:rPr>
            </w:pPr>
            <w:r>
              <w:rPr>
                <w:rFonts w:ascii="Cambria" w:hAnsi="Cambria" w:cs="Arial"/>
                <w:b/>
                <w:noProof/>
                <w:sz w:val="28"/>
                <w:szCs w:val="28"/>
                <w:u w:val="single"/>
              </w:rPr>
              <w:t>SB 1140:</w:t>
            </w:r>
            <w:r w:rsidRPr="00803606">
              <w:rPr>
                <w:rFonts w:ascii="Cambria" w:hAnsi="Cambria" w:cs="Arial"/>
                <w:noProof/>
                <w:sz w:val="28"/>
                <w:szCs w:val="28"/>
                <w:u w:val="single"/>
              </w:rPr>
              <w:t xml:space="preserve"> </w:t>
            </w:r>
            <w:r>
              <w:rPr>
                <w:rFonts w:ascii="Cambria" w:hAnsi="Cambria" w:cs="Arial"/>
                <w:noProof/>
                <w:sz w:val="28"/>
                <w:szCs w:val="28"/>
                <w:u w:val="single"/>
              </w:rPr>
              <w:t xml:space="preserve">S/E uniform video service license; </w:t>
            </w:r>
            <w:r w:rsidRPr="00730D6B">
              <w:rPr>
                <w:rFonts w:ascii="Cambria" w:hAnsi="Cambria" w:cs="Arial"/>
                <w:noProof/>
                <w:sz w:val="28"/>
                <w:szCs w:val="28"/>
                <w:u w:val="single"/>
              </w:rPr>
              <w:t>video se</w:t>
            </w:r>
            <w:r>
              <w:rPr>
                <w:rFonts w:ascii="Cambria" w:hAnsi="Cambria" w:cs="Arial"/>
                <w:noProof/>
                <w:sz w:val="28"/>
                <w:szCs w:val="28"/>
                <w:u w:val="single"/>
              </w:rPr>
              <w:t>rvice.</w:t>
            </w:r>
          </w:p>
        </w:tc>
      </w:tr>
      <w:tr w:rsidR="00030FBE" w:rsidTr="00030FBE">
        <w:tc>
          <w:tcPr>
            <w:tcW w:w="5125" w:type="dxa"/>
          </w:tcPr>
          <w:p w:rsidR="00030FBE" w:rsidRPr="001C7498" w:rsidRDefault="00030FBE" w:rsidP="00030FBE">
            <w:pPr>
              <w:spacing w:after="120"/>
              <w:rPr>
                <w:rFonts w:ascii="Cambria" w:hAnsi="Cambria" w:cs="Arial"/>
                <w:sz w:val="22"/>
              </w:rPr>
            </w:pPr>
            <w:r w:rsidRPr="001C7498">
              <w:rPr>
                <w:rFonts w:ascii="Cambria" w:hAnsi="Cambria" w:cs="Arial"/>
                <w:b/>
                <w:sz w:val="22"/>
              </w:rPr>
              <w:t>PRIME SPONSOR:</w:t>
            </w:r>
            <w:r w:rsidRPr="001C7498">
              <w:rPr>
                <w:rFonts w:ascii="Cambria" w:hAnsi="Cambria" w:cs="Arial"/>
                <w:sz w:val="22"/>
              </w:rPr>
              <w:t xml:space="preserve"> Senator Griffin, LD 14</w:t>
            </w:r>
          </w:p>
          <w:p w:rsidR="00030FBE" w:rsidRPr="001C7498" w:rsidRDefault="00030FBE" w:rsidP="00030FBE">
            <w:pPr>
              <w:rPr>
                <w:rFonts w:ascii="Cambria" w:hAnsi="Cambria" w:cs="Arial"/>
                <w:sz w:val="22"/>
              </w:rPr>
            </w:pPr>
            <w:r w:rsidRPr="001C7498">
              <w:rPr>
                <w:rFonts w:ascii="Cambria" w:hAnsi="Cambria" w:cs="Arial"/>
                <w:b/>
                <w:sz w:val="22"/>
              </w:rPr>
              <w:t>BILL STATUS:</w:t>
            </w:r>
            <w:r w:rsidRPr="001C7498">
              <w:rPr>
                <w:rFonts w:ascii="Cambria" w:hAnsi="Cambria" w:cs="Arial"/>
                <w:sz w:val="22"/>
              </w:rPr>
              <w:t xml:space="preserve"> </w:t>
            </w:r>
            <w:bookmarkStart w:id="3" w:name="Bill_Status"/>
            <w:bookmarkEnd w:id="3"/>
            <w:r w:rsidRPr="001C7498">
              <w:rPr>
                <w:rFonts w:ascii="Cambria" w:hAnsi="Cambria"/>
                <w:sz w:val="22"/>
              </w:rPr>
              <w:fldChar w:fldCharType="begin"/>
            </w:r>
            <w:r w:rsidRPr="001C7498">
              <w:rPr>
                <w:rFonts w:ascii="Cambria" w:hAnsi="Cambria"/>
                <w:sz w:val="22"/>
              </w:rPr>
              <w:instrText xml:space="preserve"> HYPERLINK "https://apps.azleg.gov/BillStatus/BillOverview/70068" </w:instrText>
            </w:r>
            <w:r w:rsidRPr="001C7498">
              <w:rPr>
                <w:rFonts w:ascii="Cambria" w:hAnsi="Cambria"/>
                <w:sz w:val="22"/>
              </w:rPr>
              <w:fldChar w:fldCharType="separate"/>
            </w:r>
            <w:r w:rsidRPr="001C7498">
              <w:rPr>
                <w:rStyle w:val="Hyperlink"/>
                <w:rFonts w:ascii="Cambria" w:hAnsi="Cambria"/>
                <w:sz w:val="22"/>
              </w:rPr>
              <w:t>Caucus &amp; COW</w:t>
            </w:r>
            <w:r w:rsidRPr="001C7498">
              <w:rPr>
                <w:rFonts w:ascii="Cambria" w:hAnsi="Cambria"/>
                <w:sz w:val="22"/>
              </w:rPr>
              <w:fldChar w:fldCharType="end"/>
            </w:r>
          </w:p>
          <w:tbl>
            <w:tblPr>
              <w:tblStyle w:val="TableGrid"/>
              <w:tblW w:w="0" w:type="auto"/>
              <w:tblLook w:val="04A0" w:firstRow="1" w:lastRow="0" w:firstColumn="1" w:lastColumn="0" w:noHBand="0" w:noVBand="1"/>
            </w:tblPr>
            <w:tblGrid>
              <w:gridCol w:w="5115"/>
            </w:tblGrid>
            <w:tr w:rsidR="00030FBE" w:rsidRPr="001C7498" w:rsidTr="00385E68">
              <w:tc>
                <w:tcPr>
                  <w:tcW w:w="5115" w:type="dxa"/>
                  <w:tcBorders>
                    <w:top w:val="nil"/>
                    <w:left w:val="nil"/>
                    <w:bottom w:val="nil"/>
                    <w:right w:val="nil"/>
                  </w:tcBorders>
                  <w:tcMar>
                    <w:left w:w="0" w:type="dxa"/>
                    <w:right w:w="0" w:type="dxa"/>
                  </w:tcMar>
                </w:tcPr>
                <w:p w:rsidR="00030FBE" w:rsidRPr="001C7498" w:rsidRDefault="00030FBE" w:rsidP="00030FBE">
                  <w:pPr>
                    <w:framePr w:hSpace="180" w:wrap="around" w:vAnchor="page" w:hAnchor="margin" w:y="2341"/>
                    <w:ind w:left="630"/>
                    <w:rPr>
                      <w:rFonts w:ascii="Cambria" w:hAnsi="Cambria" w:cs="Arial"/>
                      <w:sz w:val="22"/>
                    </w:rPr>
                  </w:pPr>
                  <w:bookmarkStart w:id="4" w:name="Committees"/>
                  <w:bookmarkEnd w:id="4"/>
                  <w:r w:rsidRPr="001C7498">
                    <w:rPr>
                      <w:rFonts w:ascii="Cambria" w:hAnsi="Cambria" w:cs="Arial"/>
                      <w:sz w:val="22"/>
                    </w:rPr>
                    <w:t>APPROP: DPA/SE 9-4-0-0</w:t>
                  </w:r>
                </w:p>
              </w:tc>
            </w:tr>
          </w:tbl>
          <w:p w:rsidR="00030FBE" w:rsidRPr="00C6092E" w:rsidRDefault="00030FBE" w:rsidP="00030FBE">
            <w:pPr>
              <w:rPr>
                <w:rFonts w:ascii="Cambria" w:hAnsi="Cambria" w:cs="Arial"/>
              </w:rPr>
            </w:pPr>
          </w:p>
        </w:tc>
        <w:tc>
          <w:tcPr>
            <w:tcW w:w="4770" w:type="dxa"/>
          </w:tcPr>
          <w:p w:rsidR="00030FBE" w:rsidRDefault="00030FBE" w:rsidP="00030FBE">
            <w:pPr>
              <w:rPr>
                <w:rFonts w:ascii="Cambria" w:hAnsi="Cambria" w:cs="Arial"/>
              </w:rPr>
            </w:pPr>
            <w:r w:rsidRPr="001C5438">
              <w:rPr>
                <w:rFonts w:ascii="Cambria" w:hAnsi="Cambria" w:cs="Arial"/>
                <w:noProof/>
              </w:rPr>
              <mc:AlternateContent>
                <mc:Choice Requires="wps">
                  <w:drawing>
                    <wp:anchor distT="0" distB="0" distL="114300" distR="114300" simplePos="0" relativeHeight="251652608" behindDoc="1" locked="1" layoutInCell="1" allowOverlap="0" wp14:anchorId="12AA1D74" wp14:editId="2338B2D9">
                      <wp:simplePos x="0" y="0"/>
                      <wp:positionH relativeFrom="margin">
                        <wp:posOffset>1270</wp:posOffset>
                      </wp:positionH>
                      <wp:positionV relativeFrom="page">
                        <wp:posOffset>71755</wp:posOffset>
                      </wp:positionV>
                      <wp:extent cx="2870835" cy="1461135"/>
                      <wp:effectExtent l="0" t="0" r="24765" b="247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14611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30FBE" w:rsidRPr="000827B1" w:rsidRDefault="00030FBE" w:rsidP="00030FBE">
                                  <w:pPr>
                                    <w:rPr>
                                      <w:b/>
                                      <w:u w:val="single"/>
                                    </w:rPr>
                                  </w:pPr>
                                  <w:r w:rsidRPr="00BB4358">
                                    <w:rPr>
                                      <w:b/>
                                      <w:u w:val="single"/>
                                    </w:rPr>
                                    <w:t>Legend:</w:t>
                                  </w:r>
                                </w:p>
                                <w:p w:rsidR="00030FBE" w:rsidRPr="009E2D4C" w:rsidRDefault="00030FBE" w:rsidP="00030FBE">
                                  <w:r w:rsidRPr="009E2D4C">
                                    <w:t>HCO- Holdover Cable Operator</w:t>
                                  </w:r>
                                </w:p>
                                <w:p w:rsidR="00030FBE" w:rsidRPr="009E2D4C" w:rsidRDefault="00030FBE" w:rsidP="00030FBE">
                                  <w:r w:rsidRPr="009E2D4C">
                                    <w:t>ICO- Incumbent Cable Operator</w:t>
                                  </w:r>
                                </w:p>
                                <w:p w:rsidR="00030FBE" w:rsidRPr="009E2D4C" w:rsidRDefault="00030FBE" w:rsidP="00030FBE">
                                  <w:r>
                                    <w:t>OAH- Office of Administrative Hearings</w:t>
                                  </w:r>
                                </w:p>
                                <w:p w:rsidR="00030FBE" w:rsidRDefault="00030FBE" w:rsidP="00030FBE">
                                  <w:r>
                                    <w:t>UVSL- Uniform Video Service License</w:t>
                                  </w:r>
                                </w:p>
                                <w:p w:rsidR="00030FBE" w:rsidRDefault="00030FBE" w:rsidP="00030FBE">
                                  <w:r w:rsidRPr="009E2D4C">
                                    <w:t>VS- Video Services</w:t>
                                  </w:r>
                                </w:p>
                                <w:p w:rsidR="00030FBE" w:rsidRPr="009E2D4C" w:rsidRDefault="00030FBE" w:rsidP="00030FBE">
                                  <w:r>
                                    <w:t>VSN- Video Service Network</w:t>
                                  </w:r>
                                </w:p>
                                <w:p w:rsidR="00030FBE" w:rsidRDefault="00030FBE" w:rsidP="00030FBE">
                                  <w:r w:rsidRPr="009E2D4C">
                                    <w:t>VSP- Video Service Provider</w:t>
                                  </w:r>
                                </w:p>
                                <w:p w:rsidR="00030FBE" w:rsidRPr="00BB4358" w:rsidRDefault="00030FBE" w:rsidP="00030FBE">
                                  <w:r w:rsidRPr="00BB4358">
                                    <w:t xml:space="preserve">Amendments </w:t>
                                  </w:r>
                                  <w:r>
                                    <w:t xml:space="preserve">– </w:t>
                                  </w:r>
                                  <w:r w:rsidRPr="004357B7">
                                    <w:rPr>
                                      <w:b/>
                                      <w:color w:val="7030A0"/>
                                    </w:rPr>
                                    <w:t>BOLD</w:t>
                                  </w:r>
                                  <w:r w:rsidRPr="00BB4358">
                                    <w:rPr>
                                      <w:b/>
                                    </w:rPr>
                                    <w:t xml:space="preserve"> </w:t>
                                  </w:r>
                                  <w:r w:rsidRPr="00BB4358">
                                    <w:t xml:space="preserve">and </w:t>
                                  </w:r>
                                  <w:r w:rsidRPr="00C647C5">
                                    <w:rPr>
                                      <w:strike/>
                                      <w:color w:val="FF0000"/>
                                    </w:rPr>
                                    <w:t>Stricken</w:t>
                                  </w:r>
                                  <w:r w:rsidRPr="00BB4358">
                                    <w:t xml:space="preserve"> </w:t>
                                  </w:r>
                                  <w:r>
                                    <w:t>(</w:t>
                                  </w:r>
                                  <w:r>
                                    <w:rPr>
                                      <w:i/>
                                    </w:rPr>
                                    <w:t>Committee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A1D74" id="_x0000_t202" coordsize="21600,21600" o:spt="202" path="m,l,21600r21600,l21600,xe">
                      <v:stroke joinstyle="miter"/>
                      <v:path gradientshapeok="t" o:connecttype="rect"/>
                    </v:shapetype>
                    <v:shape id="Text Box 4" o:spid="_x0000_s1026" type="#_x0000_t202" style="position:absolute;margin-left:.1pt;margin-top:5.65pt;width:226.05pt;height:115.0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" o:allowoverlap="f" filled="f">
                      <v:textbox>
                        <w:txbxContent>
                          <w:p w:rsidR="00030FBE" w:rsidRPr="000827B1" w:rsidRDefault="00030FBE" w:rsidP="00030FBE">
                            <w:pPr>
                              <w:rPr>
                                <w:b/>
                                <w:u w:val="single"/>
                              </w:rPr>
                            </w:pPr>
                            <w:r w:rsidRPr="00BB4358">
                              <w:rPr>
                                <w:b/>
                                <w:u w:val="single"/>
                              </w:rPr>
                              <w:t>Legend:</w:t>
                            </w:r>
                          </w:p>
                          <w:p w:rsidR="00030FBE" w:rsidRPr="009E2D4C" w:rsidRDefault="00030FBE" w:rsidP="00030FBE">
                            <w:r w:rsidRPr="009E2D4C">
                              <w:t>HCO- Holdover Cable Operator</w:t>
                            </w:r>
                          </w:p>
                          <w:p w:rsidR="00030FBE" w:rsidRPr="009E2D4C" w:rsidRDefault="00030FBE" w:rsidP="00030FBE">
                            <w:r w:rsidRPr="009E2D4C">
                              <w:t>ICO- Incumbent Cable Operator</w:t>
                            </w:r>
                          </w:p>
                          <w:p w:rsidR="00030FBE" w:rsidRPr="009E2D4C" w:rsidRDefault="00030FBE" w:rsidP="00030FBE">
                            <w:r>
                              <w:t>OAH- Office of Administrative Hearings</w:t>
                            </w:r>
                          </w:p>
                          <w:p w:rsidR="00030FBE" w:rsidRDefault="00030FBE" w:rsidP="00030FBE">
                            <w:r>
                              <w:t>UVSL- Uniform Video Service License</w:t>
                            </w:r>
                          </w:p>
                          <w:p w:rsidR="00030FBE" w:rsidRDefault="00030FBE" w:rsidP="00030FBE">
                            <w:r w:rsidRPr="009E2D4C">
                              <w:t>VS- Video Services</w:t>
                            </w:r>
                          </w:p>
                          <w:p w:rsidR="00030FBE" w:rsidRPr="009E2D4C" w:rsidRDefault="00030FBE" w:rsidP="00030FBE">
                            <w:r>
                              <w:t>VSN- Video Service Network</w:t>
                            </w:r>
                          </w:p>
                          <w:p w:rsidR="00030FBE" w:rsidRDefault="00030FBE" w:rsidP="00030FBE">
                            <w:r w:rsidRPr="009E2D4C">
                              <w:t>VSP- Video Service Provider</w:t>
                            </w:r>
                          </w:p>
                          <w:p w:rsidR="00030FBE" w:rsidRPr="00BB4358" w:rsidRDefault="00030FBE" w:rsidP="00030FBE">
                            <w:r w:rsidRPr="00BB4358">
                              <w:t xml:space="preserve">Amendments </w:t>
                            </w:r>
                            <w:r>
                              <w:t xml:space="preserve">– </w:t>
                            </w:r>
                            <w:r w:rsidRPr="004357B7">
                              <w:rPr>
                                <w:b/>
                                <w:color w:val="7030A0"/>
                              </w:rPr>
                              <w:t>BOLD</w:t>
                            </w:r>
                            <w:r w:rsidRPr="00BB4358">
                              <w:rPr>
                                <w:b/>
                              </w:rPr>
                              <w:t xml:space="preserve"> </w:t>
                            </w:r>
                            <w:r w:rsidRPr="00BB4358">
                              <w:t xml:space="preserve">and </w:t>
                            </w:r>
                            <w:r w:rsidRPr="00C647C5">
                              <w:rPr>
                                <w:strike/>
                                <w:color w:val="FF0000"/>
                              </w:rPr>
                              <w:t>Stricken</w:t>
                            </w:r>
                            <w:r w:rsidRPr="00BB4358">
                              <w:t xml:space="preserve"> </w:t>
                            </w:r>
                            <w:r>
                              <w:t>(</w:t>
                            </w:r>
                            <w:r>
                              <w:rPr>
                                <w:i/>
                              </w:rPr>
                              <w:t>Committee</w:t>
                            </w:r>
                            <w:r>
                              <w:t>)</w:t>
                            </w:r>
                          </w:p>
                        </w:txbxContent>
                      </v:textbox>
                      <w10:wrap anchorx="margin" anchory="page"/>
                      <w10:anchorlock/>
                    </v:shape>
                  </w:pict>
                </mc:Fallback>
              </mc:AlternateContent>
            </w:r>
          </w:p>
        </w:tc>
      </w:tr>
    </w:tbl>
    <w:p w:rsidR="00030FBE" w:rsidRDefault="00030FBE" w:rsidP="00030FBE">
      <w:pPr>
        <w:spacing w:before="200"/>
        <w:jc w:val="both"/>
        <w:rPr>
          <w:rFonts w:ascii="Cambria" w:hAnsi="Cambria" w:cs="Arial"/>
          <w:b/>
          <w:u w:val="single"/>
        </w:rPr>
      </w:pPr>
    </w:p>
    <w:p w:rsidR="00030FBE" w:rsidRDefault="00030FBE" w:rsidP="00030FBE">
      <w:pPr>
        <w:spacing w:before="200"/>
        <w:jc w:val="both"/>
        <w:rPr>
          <w:rFonts w:ascii="Cambria" w:hAnsi="Cambria" w:cs="Arial"/>
          <w:b/>
          <w:u w:val="single"/>
        </w:rPr>
      </w:pPr>
    </w:p>
    <w:p w:rsidR="00030FBE" w:rsidRDefault="00030FBE" w:rsidP="00030FBE">
      <w:pPr>
        <w:spacing w:before="200"/>
        <w:jc w:val="both"/>
        <w:rPr>
          <w:rFonts w:ascii="Cambria" w:hAnsi="Cambria" w:cs="Arial"/>
          <w:b/>
          <w:u w:val="single"/>
        </w:rPr>
      </w:pPr>
    </w:p>
    <w:p w:rsidR="00030FBE" w:rsidRPr="00030FBE" w:rsidRDefault="00030FBE" w:rsidP="00030FBE">
      <w:pPr>
        <w:spacing w:before="200"/>
        <w:jc w:val="both"/>
        <w:rPr>
          <w:rFonts w:asciiTheme="majorHAnsi" w:hAnsiTheme="majorHAnsi" w:cs="Arial"/>
          <w:b/>
          <w:sz w:val="22"/>
          <w:szCs w:val="22"/>
          <w:u w:val="single"/>
        </w:rPr>
      </w:pPr>
      <w:r w:rsidRPr="00030FBE">
        <w:rPr>
          <w:rFonts w:asciiTheme="majorHAnsi" w:hAnsiTheme="majorHAnsi" w:cs="Arial"/>
          <w:b/>
          <w:sz w:val="22"/>
          <w:szCs w:val="22"/>
          <w:u w:val="single"/>
        </w:rPr>
        <w:t>Abstract</w:t>
      </w:r>
      <w:bookmarkStart w:id="5" w:name="Start_Here"/>
      <w:bookmarkEnd w:id="5"/>
    </w:p>
    <w:p w:rsidR="00030FBE" w:rsidRPr="00030FBE" w:rsidRDefault="00030FBE" w:rsidP="00030FBE">
      <w:pPr>
        <w:spacing w:after="120"/>
        <w:jc w:val="both"/>
        <w:rPr>
          <w:rFonts w:asciiTheme="majorHAnsi" w:hAnsiTheme="majorHAnsi" w:cs="Arial"/>
          <w:sz w:val="22"/>
          <w:szCs w:val="22"/>
        </w:rPr>
      </w:pPr>
      <w:r w:rsidRPr="00030FBE">
        <w:rPr>
          <w:rFonts w:asciiTheme="majorHAnsi" w:hAnsiTheme="majorHAnsi" w:cs="Arial"/>
          <w:sz w:val="22"/>
          <w:szCs w:val="22"/>
        </w:rPr>
        <w:t>Relating to certificates of authority for video service providers.</w:t>
      </w:r>
      <w:r w:rsidRPr="00030FBE">
        <w:rPr>
          <w:rFonts w:asciiTheme="majorHAnsi" w:hAnsiTheme="majorHAnsi" w:cs="Arial"/>
          <w:noProof/>
          <w:sz w:val="22"/>
          <w:szCs w:val="22"/>
        </w:rPr>
        <mc:AlternateContent>
          <mc:Choice Requires="wps">
            <w:drawing>
              <wp:anchor distT="0" distB="0" distL="114300" distR="114300" simplePos="0" relativeHeight="251649536" behindDoc="1" locked="1" layoutInCell="1" allowOverlap="0" wp14:anchorId="51320227" wp14:editId="06896B69">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rsidR="00030FBE" w:rsidRDefault="00030FBE" w:rsidP="00030FBE">
                            <w:pPr>
                              <w:jc w:val="center"/>
                            </w:pPr>
                            <w:sdt>
                              <w:sdtPr>
                                <w:tag w:val="Prop105"/>
                                <w:id w:val="-18746880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3040101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9795620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9745124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20227" id="Text Box 6" o:spid="_x0000_s1027" type="#_x0000_t202" style="position:absolute;left:0;text-align:left;margin-left:0;margin-top:628.5pt;width:468pt;height:21.6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Aoh9/5LgIAAFcEAAAOAAAAAAAAAAAAAAAAAC4CAABk&#10;cnMvZTJvRG9jLnhtbFBLAQItABQABgAIAAAAIQD4CaEL3gAAAAoBAAAPAAAAAAAAAAAAAAAAAIgE&#10;AABkcnMvZG93bnJldi54bWxQSwUGAAAAAAQABADzAAAAkwUAAAAA&#10;" o:allowoverlap="f">
                <v:textbox>
                  <w:txbxContent>
                    <w:p w:rsidR="00030FBE" w:rsidRDefault="00030FBE" w:rsidP="00030FBE">
                      <w:pPr>
                        <w:jc w:val="center"/>
                      </w:pPr>
                      <w:sdt>
                        <w:sdtPr>
                          <w:tag w:val="Prop105"/>
                          <w:id w:val="-18746880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3040101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9795620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9745124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margin" anchory="margin"/>
                <w10:anchorlock/>
              </v:shape>
            </w:pict>
          </mc:Fallback>
        </mc:AlternateContent>
      </w:r>
    </w:p>
    <w:p w:rsidR="00030FBE" w:rsidRPr="00030FBE" w:rsidRDefault="00030FBE" w:rsidP="00030FBE">
      <w:pPr>
        <w:jc w:val="both"/>
        <w:rPr>
          <w:rFonts w:asciiTheme="majorHAnsi" w:hAnsiTheme="majorHAnsi" w:cs="Arial"/>
          <w:b/>
          <w:sz w:val="22"/>
          <w:szCs w:val="22"/>
          <w:u w:val="single"/>
        </w:rPr>
      </w:pPr>
      <w:r w:rsidRPr="00030FBE">
        <w:rPr>
          <w:rFonts w:asciiTheme="majorHAnsi" w:hAnsiTheme="majorHAnsi" w:cs="Arial"/>
          <w:b/>
          <w:sz w:val="22"/>
          <w:szCs w:val="22"/>
          <w:u w:val="single"/>
        </w:rPr>
        <w:t>Provisions</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Adds Chapter 13 (Video Service) to Title 9 (Cities and Towns) statutes.</w:t>
      </w:r>
    </w:p>
    <w:p w:rsidR="00030FBE" w:rsidRPr="00030FBE" w:rsidRDefault="00030FBE" w:rsidP="00030FBE">
      <w:pPr>
        <w:pStyle w:val="ListParagraph"/>
        <w:spacing w:after="0" w:line="240" w:lineRule="auto"/>
        <w:ind w:left="360"/>
        <w:contextualSpacing w:val="0"/>
        <w:jc w:val="center"/>
        <w:rPr>
          <w:rFonts w:asciiTheme="majorHAnsi" w:hAnsiTheme="majorHAnsi" w:cs="Arial"/>
        </w:rPr>
      </w:pPr>
      <w:r w:rsidRPr="00030FBE">
        <w:rPr>
          <w:rFonts w:asciiTheme="majorHAnsi" w:hAnsiTheme="majorHAnsi" w:cs="Arial"/>
          <w:b/>
          <w:i/>
        </w:rPr>
        <w:t>Taxes and Fees (Sec. 1)</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Prohibits a local government from levying a tax, rent, fee or charge on a VSP for the use of highways to provide VS.</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Outlines a local government's capacity to charge a license fee and transaction privilege tax, which may not exceed 5%, to the VSP based on the gross revenue the VSP receives from local subscribers.</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Requires a local government to adopt a local law that imposes a license fee equally and uniformly on a VSP and a HCO.  </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Authorizes a local government to conduct an audit of a VSP once every three years to ensure payment of license fees. </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Prohibits a VSP from bundling services as a means of evading licensing fees.  </w:t>
      </w:r>
    </w:p>
    <w:p w:rsidR="00030FBE" w:rsidRPr="00030FBE" w:rsidRDefault="00030FBE" w:rsidP="00030FBE">
      <w:pPr>
        <w:pStyle w:val="ListParagraph"/>
        <w:spacing w:after="0" w:line="240" w:lineRule="auto"/>
        <w:ind w:left="360"/>
        <w:contextualSpacing w:val="0"/>
        <w:jc w:val="center"/>
        <w:rPr>
          <w:rFonts w:asciiTheme="majorHAnsi" w:hAnsiTheme="majorHAnsi" w:cs="Arial"/>
        </w:rPr>
      </w:pPr>
      <w:r w:rsidRPr="00030FBE">
        <w:rPr>
          <w:rFonts w:asciiTheme="majorHAnsi" w:hAnsiTheme="majorHAnsi" w:cs="Arial"/>
          <w:b/>
          <w:i/>
        </w:rPr>
        <w:t>Uniform Regulation and Licensing (Sec. 1)</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Specifies that the licensing, regulation and use of a VSP are of statewide concern and not subject to further regulation by a local government.  </w:t>
      </w:r>
    </w:p>
    <w:p w:rsidR="00030FBE" w:rsidRPr="00030FBE" w:rsidRDefault="00030FBE" w:rsidP="00030FBE">
      <w:pPr>
        <w:pStyle w:val="ListParagraph"/>
        <w:numPr>
          <w:ilvl w:val="0"/>
          <w:numId w:val="1"/>
        </w:numPr>
        <w:spacing w:after="0" w:line="240" w:lineRule="auto"/>
        <w:contextualSpacing w:val="0"/>
        <w:jc w:val="both"/>
        <w:rPr>
          <w:rFonts w:asciiTheme="majorHAnsi" w:hAnsiTheme="majorHAnsi" w:cs="Arial"/>
        </w:rPr>
      </w:pPr>
      <w:r w:rsidRPr="00030FBE">
        <w:rPr>
          <w:rFonts w:asciiTheme="majorHAnsi" w:hAnsiTheme="majorHAnsi" w:cs="Arial"/>
        </w:rPr>
        <w:t>States that regulation of a VSP, including application to local licenses of an ICO, is reasonable and necessary to promote the following:</w:t>
      </w:r>
    </w:p>
    <w:p w:rsidR="00030FBE" w:rsidRPr="00030FBE" w:rsidRDefault="00030FBE" w:rsidP="00030FBE">
      <w:pPr>
        <w:pStyle w:val="ListParagraph"/>
        <w:numPr>
          <w:ilvl w:val="1"/>
          <w:numId w:val="1"/>
        </w:numPr>
        <w:spacing w:after="0" w:line="240" w:lineRule="auto"/>
        <w:contextualSpacing w:val="0"/>
        <w:jc w:val="both"/>
        <w:rPr>
          <w:rFonts w:asciiTheme="majorHAnsi" w:hAnsiTheme="majorHAnsi" w:cs="Arial"/>
        </w:rPr>
      </w:pPr>
      <w:r w:rsidRPr="00030FBE">
        <w:rPr>
          <w:rFonts w:asciiTheme="majorHAnsi" w:hAnsiTheme="majorHAnsi" w:cs="Arial"/>
        </w:rPr>
        <w:t>Competitive video, telecommunications and information services statewide;</w:t>
      </w:r>
    </w:p>
    <w:p w:rsidR="00030FBE" w:rsidRPr="00030FBE" w:rsidRDefault="00030FBE" w:rsidP="00030FBE">
      <w:pPr>
        <w:pStyle w:val="ListParagraph"/>
        <w:numPr>
          <w:ilvl w:val="1"/>
          <w:numId w:val="1"/>
        </w:numPr>
        <w:spacing w:after="0" w:line="240" w:lineRule="auto"/>
        <w:contextualSpacing w:val="0"/>
        <w:jc w:val="both"/>
        <w:rPr>
          <w:rFonts w:asciiTheme="majorHAnsi" w:hAnsiTheme="majorHAnsi" w:cs="Arial"/>
        </w:rPr>
      </w:pPr>
      <w:r w:rsidRPr="00030FBE">
        <w:rPr>
          <w:rFonts w:asciiTheme="majorHAnsi" w:hAnsiTheme="majorHAnsi" w:cs="Arial"/>
        </w:rPr>
        <w:t xml:space="preserve">More uniform regulation of competitive VS statewide;  </w:t>
      </w:r>
    </w:p>
    <w:p w:rsidR="00030FBE" w:rsidRPr="00030FBE" w:rsidRDefault="00030FBE" w:rsidP="00030FBE">
      <w:pPr>
        <w:pStyle w:val="ListParagraph"/>
        <w:numPr>
          <w:ilvl w:val="1"/>
          <w:numId w:val="1"/>
        </w:numPr>
        <w:spacing w:after="0" w:line="240" w:lineRule="auto"/>
        <w:contextualSpacing w:val="0"/>
        <w:jc w:val="both"/>
        <w:rPr>
          <w:rFonts w:asciiTheme="majorHAnsi" w:hAnsiTheme="majorHAnsi" w:cs="Arial"/>
        </w:rPr>
      </w:pPr>
      <w:r w:rsidRPr="00030FBE">
        <w:rPr>
          <w:rFonts w:asciiTheme="majorHAnsi" w:hAnsiTheme="majorHAnsi" w:cs="Arial"/>
        </w:rPr>
        <w:t xml:space="preserve">Streamlined licensing by local governments and more uniform terms and conditions for a VSP that use highways to provide VS and other services over a VSN; </w:t>
      </w:r>
    </w:p>
    <w:p w:rsidR="00030FBE" w:rsidRPr="00030FBE" w:rsidRDefault="00030FBE" w:rsidP="00030FBE">
      <w:pPr>
        <w:pStyle w:val="ListParagraph"/>
        <w:numPr>
          <w:ilvl w:val="1"/>
          <w:numId w:val="1"/>
        </w:numPr>
        <w:spacing w:after="0" w:line="240" w:lineRule="auto"/>
        <w:contextualSpacing w:val="0"/>
        <w:jc w:val="both"/>
        <w:rPr>
          <w:rFonts w:asciiTheme="majorHAnsi" w:hAnsiTheme="majorHAnsi" w:cs="Arial"/>
        </w:rPr>
      </w:pPr>
      <w:r w:rsidRPr="00030FBE">
        <w:rPr>
          <w:rFonts w:asciiTheme="majorHAnsi" w:hAnsiTheme="majorHAnsi" w:cs="Arial"/>
        </w:rPr>
        <w:t>Continued management by local governments regarding continuous highway maintenance and use, including license fees on subscriber gross revenue;</w:t>
      </w:r>
    </w:p>
    <w:p w:rsidR="00030FBE" w:rsidRPr="00030FBE" w:rsidRDefault="00030FBE" w:rsidP="00030FBE">
      <w:pPr>
        <w:pStyle w:val="ListParagraph"/>
        <w:numPr>
          <w:ilvl w:val="1"/>
          <w:numId w:val="1"/>
        </w:numPr>
        <w:spacing w:after="0" w:line="240" w:lineRule="auto"/>
        <w:contextualSpacing w:val="0"/>
        <w:jc w:val="both"/>
        <w:rPr>
          <w:rFonts w:asciiTheme="majorHAnsi" w:hAnsiTheme="majorHAnsi" w:cs="Arial"/>
        </w:rPr>
      </w:pPr>
      <w:r w:rsidRPr="00030FBE">
        <w:rPr>
          <w:rFonts w:asciiTheme="majorHAnsi" w:hAnsiTheme="majorHAnsi" w:cs="Arial"/>
        </w:rPr>
        <w:t xml:space="preserve">Continued levying of license fees by local governments on subscriber service revenues derived from operating a VSN to provide VS; and </w:t>
      </w:r>
    </w:p>
    <w:p w:rsidR="00030FBE" w:rsidRPr="00030FBE" w:rsidRDefault="00030FBE" w:rsidP="00030FBE">
      <w:pPr>
        <w:pStyle w:val="ListParagraph"/>
        <w:numPr>
          <w:ilvl w:val="1"/>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Specifies that the provisions comply with federal regulations.  </w:t>
      </w:r>
    </w:p>
    <w:p w:rsidR="00030FBE" w:rsidRPr="00030FBE" w:rsidRDefault="00030FBE" w:rsidP="00030FBE">
      <w:pPr>
        <w:pStyle w:val="ListParagraph"/>
        <w:numPr>
          <w:ilvl w:val="0"/>
          <w:numId w:val="1"/>
        </w:numPr>
        <w:spacing w:after="0" w:line="240" w:lineRule="auto"/>
        <w:contextualSpacing w:val="0"/>
        <w:jc w:val="both"/>
        <w:rPr>
          <w:rFonts w:asciiTheme="majorHAnsi" w:hAnsiTheme="majorHAnsi" w:cs="Arial"/>
        </w:rPr>
      </w:pPr>
      <w:r w:rsidRPr="00030FBE">
        <w:rPr>
          <w:rFonts w:asciiTheme="majorHAnsi" w:hAnsiTheme="majorHAnsi" w:cs="Arial"/>
        </w:rPr>
        <w:t xml:space="preserve">Asserts the limits of a local government, beginning on January 1, 2020, to regulate the following:  </w:t>
      </w:r>
    </w:p>
    <w:p w:rsidR="00030FBE" w:rsidRPr="00030FBE" w:rsidRDefault="00030FBE" w:rsidP="00030FBE">
      <w:pPr>
        <w:pStyle w:val="ListParagraph"/>
        <w:numPr>
          <w:ilvl w:val="1"/>
          <w:numId w:val="1"/>
        </w:numPr>
        <w:spacing w:after="0" w:line="240" w:lineRule="auto"/>
        <w:contextualSpacing w:val="0"/>
        <w:jc w:val="both"/>
        <w:rPr>
          <w:rFonts w:asciiTheme="majorHAnsi" w:hAnsiTheme="majorHAnsi" w:cs="Arial"/>
        </w:rPr>
      </w:pPr>
      <w:r w:rsidRPr="00030FBE">
        <w:rPr>
          <w:rFonts w:asciiTheme="majorHAnsi" w:hAnsiTheme="majorHAnsi" w:cs="Arial"/>
        </w:rPr>
        <w:lastRenderedPageBreak/>
        <w:t>The application of cable television system statutes to a VSP;</w:t>
      </w:r>
    </w:p>
    <w:p w:rsidR="00030FBE" w:rsidRPr="00030FBE" w:rsidRDefault="00030FBE" w:rsidP="00030FBE">
      <w:pPr>
        <w:pStyle w:val="ListParagraph"/>
        <w:numPr>
          <w:ilvl w:val="1"/>
          <w:numId w:val="1"/>
        </w:numPr>
        <w:spacing w:after="0" w:line="240" w:lineRule="auto"/>
        <w:contextualSpacing w:val="0"/>
        <w:jc w:val="both"/>
        <w:rPr>
          <w:rFonts w:asciiTheme="majorHAnsi" w:hAnsiTheme="majorHAnsi" w:cs="Arial"/>
        </w:rPr>
      </w:pPr>
      <w:r w:rsidRPr="00030FBE">
        <w:rPr>
          <w:rFonts w:asciiTheme="majorHAnsi" w:hAnsiTheme="majorHAnsi" w:cs="Arial"/>
        </w:rPr>
        <w:t xml:space="preserve">Any local law or government agreements that: </w:t>
      </w:r>
    </w:p>
    <w:p w:rsidR="00030FBE" w:rsidRPr="00030FBE" w:rsidRDefault="00030FBE" w:rsidP="00030FBE">
      <w:pPr>
        <w:pStyle w:val="ListParagraph"/>
        <w:numPr>
          <w:ilvl w:val="2"/>
          <w:numId w:val="1"/>
        </w:numPr>
        <w:spacing w:after="0" w:line="240" w:lineRule="auto"/>
        <w:contextualSpacing w:val="0"/>
        <w:jc w:val="both"/>
        <w:rPr>
          <w:rFonts w:asciiTheme="majorHAnsi" w:hAnsiTheme="majorHAnsi" w:cs="Arial"/>
        </w:rPr>
      </w:pPr>
      <w:r w:rsidRPr="00030FBE">
        <w:rPr>
          <w:rFonts w:asciiTheme="majorHAnsi" w:hAnsiTheme="majorHAnsi" w:cs="Arial"/>
        </w:rPr>
        <w:t xml:space="preserve">Require a person, except an HCO, to obtain a license or permit to construct or maintain a VSN using highways; and  </w:t>
      </w:r>
    </w:p>
    <w:p w:rsidR="00030FBE" w:rsidRPr="00030FBE" w:rsidRDefault="00030FBE" w:rsidP="00030FBE">
      <w:pPr>
        <w:pStyle w:val="ListParagraph"/>
        <w:numPr>
          <w:ilvl w:val="2"/>
          <w:numId w:val="1"/>
        </w:numPr>
        <w:spacing w:after="0" w:line="240" w:lineRule="auto"/>
        <w:contextualSpacing w:val="0"/>
        <w:jc w:val="both"/>
        <w:rPr>
          <w:rFonts w:asciiTheme="majorHAnsi" w:hAnsiTheme="majorHAnsi" w:cs="Arial"/>
        </w:rPr>
      </w:pPr>
      <w:r w:rsidRPr="00030FBE">
        <w:rPr>
          <w:rFonts w:asciiTheme="majorHAnsi" w:hAnsiTheme="majorHAnsi" w:cs="Arial"/>
        </w:rPr>
        <w:t>Regulate VS or the construction of a VSN.</w:t>
      </w:r>
    </w:p>
    <w:p w:rsidR="00030FBE" w:rsidRPr="00030FBE" w:rsidRDefault="00030FBE" w:rsidP="00030FBE">
      <w:pPr>
        <w:pStyle w:val="ListParagraph"/>
        <w:numPr>
          <w:ilvl w:val="1"/>
          <w:numId w:val="1"/>
        </w:numPr>
        <w:spacing w:after="0" w:line="240" w:lineRule="auto"/>
        <w:contextualSpacing w:val="0"/>
        <w:jc w:val="both"/>
        <w:rPr>
          <w:rFonts w:asciiTheme="majorHAnsi" w:hAnsiTheme="majorHAnsi" w:cs="Arial"/>
        </w:rPr>
      </w:pPr>
      <w:r w:rsidRPr="00030FBE">
        <w:rPr>
          <w:rFonts w:asciiTheme="majorHAnsi" w:hAnsiTheme="majorHAnsi" w:cs="Arial"/>
        </w:rPr>
        <w:t>Impose an infrastructure, facility, or equipment requirement;</w:t>
      </w:r>
    </w:p>
    <w:p w:rsidR="00030FBE" w:rsidRPr="00030FBE" w:rsidRDefault="00030FBE" w:rsidP="00030FBE">
      <w:pPr>
        <w:pStyle w:val="ListParagraph"/>
        <w:numPr>
          <w:ilvl w:val="1"/>
          <w:numId w:val="1"/>
        </w:numPr>
        <w:spacing w:after="0" w:line="240" w:lineRule="auto"/>
        <w:contextualSpacing w:val="0"/>
        <w:jc w:val="both"/>
        <w:rPr>
          <w:rFonts w:asciiTheme="majorHAnsi" w:hAnsiTheme="majorHAnsi" w:cs="Arial"/>
        </w:rPr>
      </w:pPr>
      <w:r w:rsidRPr="00030FBE">
        <w:rPr>
          <w:rFonts w:asciiTheme="majorHAnsi" w:hAnsiTheme="majorHAnsi" w:cs="Arial"/>
        </w:rPr>
        <w:t>Require a license or authorization from a local government to provide telecommunication, information, interactive computer or other services using its VSN in the service area; and</w:t>
      </w:r>
    </w:p>
    <w:p w:rsidR="00030FBE" w:rsidRPr="00030FBE" w:rsidRDefault="00030FBE" w:rsidP="00030FBE">
      <w:pPr>
        <w:pStyle w:val="ListParagraph"/>
        <w:numPr>
          <w:ilvl w:val="1"/>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Require a VSP to pay to locate or install its equipment on poles or ducts or conduits owned by the local government.  </w:t>
      </w:r>
    </w:p>
    <w:p w:rsidR="00030FBE" w:rsidRPr="00030FBE" w:rsidRDefault="00030FBE" w:rsidP="00030FBE">
      <w:pPr>
        <w:pStyle w:val="ListParagraph"/>
        <w:spacing w:after="0" w:line="240" w:lineRule="auto"/>
        <w:ind w:left="360"/>
        <w:contextualSpacing w:val="0"/>
        <w:jc w:val="center"/>
        <w:rPr>
          <w:rFonts w:asciiTheme="majorHAnsi" w:hAnsiTheme="majorHAnsi" w:cs="Arial"/>
        </w:rPr>
      </w:pPr>
      <w:r w:rsidRPr="00030FBE">
        <w:rPr>
          <w:rFonts w:asciiTheme="majorHAnsi" w:hAnsiTheme="majorHAnsi" w:cs="Arial"/>
          <w:b/>
          <w:i/>
        </w:rPr>
        <w:t>Limited Application (Sec. 1)</w:t>
      </w:r>
    </w:p>
    <w:p w:rsidR="00030FBE" w:rsidRPr="00030FBE" w:rsidRDefault="00030FBE" w:rsidP="00030FBE">
      <w:pPr>
        <w:pStyle w:val="ListParagraph"/>
        <w:numPr>
          <w:ilvl w:val="0"/>
          <w:numId w:val="1"/>
        </w:numPr>
        <w:spacing w:after="0" w:line="240" w:lineRule="auto"/>
        <w:contextualSpacing w:val="0"/>
        <w:jc w:val="both"/>
        <w:rPr>
          <w:rFonts w:asciiTheme="majorHAnsi" w:hAnsiTheme="majorHAnsi" w:cs="Arial"/>
        </w:rPr>
      </w:pPr>
      <w:r w:rsidRPr="00030FBE">
        <w:rPr>
          <w:rFonts w:asciiTheme="majorHAnsi" w:hAnsiTheme="majorHAnsi" w:cs="Arial"/>
        </w:rPr>
        <w:t>Stipulates that the provisions do not:</w:t>
      </w:r>
    </w:p>
    <w:p w:rsidR="00030FBE" w:rsidRPr="00030FBE" w:rsidRDefault="00030FBE" w:rsidP="00030FBE">
      <w:pPr>
        <w:pStyle w:val="ListParagraph"/>
        <w:numPr>
          <w:ilvl w:val="1"/>
          <w:numId w:val="1"/>
        </w:numPr>
        <w:spacing w:after="0" w:line="240" w:lineRule="auto"/>
        <w:contextualSpacing w:val="0"/>
        <w:jc w:val="both"/>
        <w:rPr>
          <w:rFonts w:asciiTheme="majorHAnsi" w:hAnsiTheme="majorHAnsi" w:cs="Arial"/>
        </w:rPr>
      </w:pPr>
      <w:r w:rsidRPr="00030FBE">
        <w:rPr>
          <w:rFonts w:asciiTheme="majorHAnsi" w:hAnsiTheme="majorHAnsi" w:cs="Arial"/>
        </w:rPr>
        <w:t xml:space="preserve">Prevent a telecommunications provider from exercising any rights or authority granted by federal or state law; </w:t>
      </w:r>
    </w:p>
    <w:p w:rsidR="00030FBE" w:rsidRPr="00030FBE" w:rsidRDefault="00030FBE" w:rsidP="00030FBE">
      <w:pPr>
        <w:pStyle w:val="ListParagraph"/>
        <w:numPr>
          <w:ilvl w:val="1"/>
          <w:numId w:val="1"/>
        </w:numPr>
        <w:spacing w:after="0" w:line="240" w:lineRule="auto"/>
        <w:contextualSpacing w:val="0"/>
        <w:jc w:val="both"/>
        <w:rPr>
          <w:rFonts w:asciiTheme="majorHAnsi" w:hAnsiTheme="majorHAnsi" w:cs="Arial"/>
        </w:rPr>
      </w:pPr>
      <w:r w:rsidRPr="00030FBE">
        <w:rPr>
          <w:rFonts w:asciiTheme="majorHAnsi" w:hAnsiTheme="majorHAnsi" w:cs="Arial"/>
        </w:rPr>
        <w:t>Affect any authority of a local government or agricultural improvement district or special taxing district; and</w:t>
      </w:r>
    </w:p>
    <w:p w:rsidR="00030FBE" w:rsidRPr="00030FBE" w:rsidRDefault="00030FBE" w:rsidP="00030FBE">
      <w:pPr>
        <w:pStyle w:val="ListParagraph"/>
        <w:numPr>
          <w:ilvl w:val="1"/>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Grant the Arizona Corporation Commission (ACC) jurisdiction over VS, VSP or VSN regarding rates and terms of utility pole attachments under federal law.  </w:t>
      </w:r>
    </w:p>
    <w:p w:rsidR="00030FBE" w:rsidRPr="00030FBE" w:rsidRDefault="00030FBE" w:rsidP="00030FBE">
      <w:pPr>
        <w:jc w:val="center"/>
        <w:rPr>
          <w:rFonts w:asciiTheme="majorHAnsi" w:hAnsiTheme="majorHAnsi" w:cs="Arial"/>
          <w:b/>
          <w:i/>
          <w:sz w:val="22"/>
          <w:szCs w:val="22"/>
        </w:rPr>
      </w:pPr>
      <w:r w:rsidRPr="00030FBE">
        <w:rPr>
          <w:rFonts w:asciiTheme="majorHAnsi" w:hAnsiTheme="majorHAnsi" w:cs="Arial"/>
          <w:b/>
          <w:i/>
          <w:sz w:val="22"/>
          <w:szCs w:val="22"/>
        </w:rPr>
        <w:t>Uniform Video Service License (Sec. 1)</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Requires a person to file a UVSL application and a signed affidavit by the principal executive officers or general partners of the applicant with the clerk of a local government.</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Requires an application and affidavit to include the service area in which the applicant intends to provide VS.  </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Outlines the required VSP identifying information.</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States the term of the UVSL may not exceed 10 years.</w:t>
      </w:r>
    </w:p>
    <w:p w:rsidR="00030FBE" w:rsidRPr="00030FBE" w:rsidRDefault="00030FBE" w:rsidP="00030FBE">
      <w:pPr>
        <w:pStyle w:val="ListParagraph"/>
        <w:numPr>
          <w:ilvl w:val="0"/>
          <w:numId w:val="1"/>
        </w:numPr>
        <w:spacing w:after="120" w:line="240" w:lineRule="auto"/>
        <w:contextualSpacing w:val="0"/>
        <w:rPr>
          <w:rFonts w:asciiTheme="majorHAnsi" w:hAnsiTheme="majorHAnsi" w:cs="Arial"/>
        </w:rPr>
      </w:pPr>
      <w:r w:rsidRPr="00030FBE">
        <w:rPr>
          <w:rFonts w:asciiTheme="majorHAnsi" w:hAnsiTheme="majorHAnsi" w:cs="Arial"/>
        </w:rPr>
        <w:t xml:space="preserve">Requires the local government to provide written notice of any application deficiencies.   </w:t>
      </w:r>
    </w:p>
    <w:p w:rsidR="00030FBE" w:rsidRPr="00030FBE" w:rsidRDefault="00030FBE" w:rsidP="00030FBE">
      <w:pPr>
        <w:pStyle w:val="ListParagraph"/>
        <w:numPr>
          <w:ilvl w:val="0"/>
          <w:numId w:val="1"/>
        </w:numPr>
        <w:spacing w:after="0" w:line="240" w:lineRule="auto"/>
        <w:contextualSpacing w:val="0"/>
        <w:jc w:val="both"/>
        <w:rPr>
          <w:rFonts w:asciiTheme="majorHAnsi" w:hAnsiTheme="majorHAnsi" w:cs="Arial"/>
        </w:rPr>
      </w:pPr>
      <w:r w:rsidRPr="00030FBE">
        <w:rPr>
          <w:rFonts w:asciiTheme="majorHAnsi" w:hAnsiTheme="majorHAnsi" w:cs="Arial"/>
        </w:rPr>
        <w:t>Prohibits a local government from doing any of the following:</w:t>
      </w:r>
    </w:p>
    <w:p w:rsidR="00030FBE" w:rsidRPr="00030FBE" w:rsidRDefault="00030FBE" w:rsidP="00030FBE">
      <w:pPr>
        <w:pStyle w:val="ListParagraph"/>
        <w:numPr>
          <w:ilvl w:val="1"/>
          <w:numId w:val="1"/>
        </w:numPr>
        <w:spacing w:after="0" w:line="240" w:lineRule="auto"/>
        <w:contextualSpacing w:val="0"/>
        <w:jc w:val="both"/>
        <w:rPr>
          <w:rFonts w:asciiTheme="majorHAnsi" w:hAnsiTheme="majorHAnsi" w:cs="Arial"/>
        </w:rPr>
      </w:pPr>
      <w:r w:rsidRPr="00030FBE">
        <w:rPr>
          <w:rFonts w:asciiTheme="majorHAnsi" w:hAnsiTheme="majorHAnsi" w:cs="Arial"/>
        </w:rPr>
        <w:t>Charge a fee for filing or processing any application, affidavit, notice or other document;</w:t>
      </w:r>
    </w:p>
    <w:p w:rsidR="00030FBE" w:rsidRPr="00030FBE" w:rsidRDefault="00030FBE" w:rsidP="00030FBE">
      <w:pPr>
        <w:pStyle w:val="ListParagraph"/>
        <w:numPr>
          <w:ilvl w:val="1"/>
          <w:numId w:val="1"/>
        </w:numPr>
        <w:spacing w:after="0" w:line="240" w:lineRule="auto"/>
        <w:contextualSpacing w:val="0"/>
        <w:jc w:val="both"/>
        <w:rPr>
          <w:rFonts w:asciiTheme="majorHAnsi" w:hAnsiTheme="majorHAnsi" w:cs="Arial"/>
        </w:rPr>
      </w:pPr>
      <w:r w:rsidRPr="00030FBE">
        <w:rPr>
          <w:rFonts w:asciiTheme="majorHAnsi" w:hAnsiTheme="majorHAnsi" w:cs="Arial"/>
        </w:rPr>
        <w:t xml:space="preserve">Vote or take other official action regarding the application; </w:t>
      </w:r>
    </w:p>
    <w:p w:rsidR="00030FBE" w:rsidRPr="00030FBE" w:rsidRDefault="00030FBE" w:rsidP="00030FBE">
      <w:pPr>
        <w:pStyle w:val="ListParagraph"/>
        <w:numPr>
          <w:ilvl w:val="1"/>
          <w:numId w:val="1"/>
        </w:numPr>
        <w:spacing w:after="0" w:line="240" w:lineRule="auto"/>
        <w:contextualSpacing w:val="0"/>
        <w:jc w:val="both"/>
        <w:rPr>
          <w:rFonts w:asciiTheme="majorHAnsi" w:hAnsiTheme="majorHAnsi" w:cs="Arial"/>
        </w:rPr>
      </w:pPr>
      <w:r w:rsidRPr="00030FBE">
        <w:rPr>
          <w:rFonts w:asciiTheme="majorHAnsi" w:hAnsiTheme="majorHAnsi" w:cs="Arial"/>
        </w:rPr>
        <w:t>Require the applicant to obtain approval from the local government; and</w:t>
      </w:r>
    </w:p>
    <w:p w:rsidR="00030FBE" w:rsidRPr="00030FBE" w:rsidRDefault="00030FBE" w:rsidP="00030FBE">
      <w:pPr>
        <w:pStyle w:val="ListParagraph"/>
        <w:numPr>
          <w:ilvl w:val="1"/>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Require an applicant to provide in-kind services or goods as a condition of operating in a service area under a UVSL.  </w:t>
      </w:r>
    </w:p>
    <w:p w:rsidR="00030FBE" w:rsidRPr="00030FBE" w:rsidRDefault="00030FBE" w:rsidP="00030FBE">
      <w:pPr>
        <w:jc w:val="center"/>
        <w:rPr>
          <w:rFonts w:asciiTheme="majorHAnsi" w:hAnsiTheme="majorHAnsi" w:cs="Arial"/>
          <w:b/>
          <w:i/>
          <w:sz w:val="22"/>
          <w:szCs w:val="22"/>
        </w:rPr>
      </w:pPr>
      <w:r w:rsidRPr="00030FBE">
        <w:rPr>
          <w:rFonts w:asciiTheme="majorHAnsi" w:hAnsiTheme="majorHAnsi" w:cs="Arial"/>
          <w:b/>
          <w:i/>
          <w:sz w:val="22"/>
          <w:szCs w:val="22"/>
        </w:rPr>
        <w:t>Uniform Video Service License Agreements (Sec. 1)</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Grants exclusive authority to a local government to issue a UVSL to a person to provide VS and construct and operate a VSN in any service area beginning on January 1, 2020.  </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Requires each local government to adopt a standard form for a UVSL application and a UVSL agreement by July 1, 2019.</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Outlines the provisions required in a UVSL agreement.    </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Prohibits a person from acting as a VSP and constructing or operating a VSN within the boundaries of a local government without first having been issued a UVSL.  </w:t>
      </w:r>
    </w:p>
    <w:p w:rsidR="00030FBE" w:rsidRPr="00030FBE" w:rsidRDefault="00030FBE" w:rsidP="00030FBE">
      <w:pPr>
        <w:pStyle w:val="ListParagraph"/>
        <w:spacing w:after="0" w:line="240" w:lineRule="auto"/>
        <w:ind w:left="360"/>
        <w:contextualSpacing w:val="0"/>
        <w:jc w:val="center"/>
        <w:rPr>
          <w:rFonts w:asciiTheme="majorHAnsi" w:hAnsiTheme="majorHAnsi" w:cs="Arial"/>
          <w:b/>
          <w:i/>
        </w:rPr>
      </w:pPr>
      <w:r w:rsidRPr="00030FBE">
        <w:rPr>
          <w:rFonts w:asciiTheme="majorHAnsi" w:hAnsiTheme="majorHAnsi" w:cs="Arial"/>
          <w:b/>
          <w:i/>
        </w:rPr>
        <w:t>Authority Granted by a Uniform Video Service License (Sec. 1)</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Requires a local government to issue a UVSL no later than 30 days after the submission of a completed application.</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lastRenderedPageBreak/>
        <w:t xml:space="preserve">States that if the local government does not notify the applicant regarding the completeness of the UVSL agreement or issue the agreement within 30 days, the agreement is considered complete.     </w:t>
      </w:r>
      <w:r w:rsidRPr="00030FBE">
        <w:rPr>
          <w:rFonts w:asciiTheme="majorHAnsi" w:hAnsiTheme="majorHAnsi" w:cs="Arial"/>
        </w:rPr>
        <w:tab/>
        <w:t xml:space="preserve"> </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Asserts that the UVSL issued by a local government to an applicant, including an ICO, is a nonexclusive license granting the holder of the UVSL the authority to operate in the designated service area. </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Prohibits a local government from limiting a UVSL by imposing any additional requirements or unauthorized fees.</w:t>
      </w:r>
    </w:p>
    <w:p w:rsidR="00030FBE" w:rsidRPr="00030FBE" w:rsidRDefault="00030FBE" w:rsidP="00030FBE">
      <w:pPr>
        <w:pStyle w:val="ListParagraph"/>
        <w:spacing w:after="0" w:line="240" w:lineRule="auto"/>
        <w:ind w:left="360"/>
        <w:contextualSpacing w:val="0"/>
        <w:jc w:val="center"/>
        <w:rPr>
          <w:rFonts w:asciiTheme="majorHAnsi" w:hAnsiTheme="majorHAnsi" w:cs="Arial"/>
          <w:b/>
          <w:i/>
        </w:rPr>
      </w:pPr>
      <w:r w:rsidRPr="00030FBE">
        <w:rPr>
          <w:rFonts w:asciiTheme="majorHAnsi" w:hAnsiTheme="majorHAnsi" w:cs="Arial"/>
          <w:b/>
          <w:i/>
        </w:rPr>
        <w:t>Amendment of a Uniform Video Service License (Sec. 1)</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Permits a UVSL to add one or more new service areas by filing an application for an amendment with the clerk of a local government to add each new service area.    </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States that an amendment application for a UVSL is subject to the same procedures, requirements, limitations, and time periods as an application for issuance of a UVSL.</w:t>
      </w:r>
    </w:p>
    <w:p w:rsidR="00030FBE" w:rsidRPr="00030FBE" w:rsidRDefault="00030FBE" w:rsidP="00030FBE">
      <w:pPr>
        <w:pStyle w:val="ListParagraph"/>
        <w:spacing w:after="0" w:line="240" w:lineRule="auto"/>
        <w:ind w:left="360"/>
        <w:contextualSpacing w:val="0"/>
        <w:jc w:val="center"/>
        <w:rPr>
          <w:rFonts w:asciiTheme="majorHAnsi" w:hAnsiTheme="majorHAnsi" w:cs="Arial"/>
          <w:b/>
          <w:i/>
        </w:rPr>
      </w:pPr>
      <w:r w:rsidRPr="00030FBE">
        <w:rPr>
          <w:rFonts w:asciiTheme="majorHAnsi" w:hAnsiTheme="majorHAnsi" w:cs="Arial"/>
          <w:b/>
          <w:i/>
        </w:rPr>
        <w:t>Termination of Service (Sec. 1)</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Allows a VSP to terminate VS in service areas authorized under the UVSL if the VSP files a written notice with the clerk of a local government.     </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States that the termination of service may begin once the written notice has been filed with a local government.  </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Requires the holder of the UVSL to comply with applicable federal law and give at least a 90-day notice to all affected subscribers and local governments before termination of VS in all service areas.  </w:t>
      </w:r>
    </w:p>
    <w:p w:rsidR="00030FBE" w:rsidRPr="00030FBE" w:rsidRDefault="00030FBE" w:rsidP="00030FBE">
      <w:pPr>
        <w:pStyle w:val="ListParagraph"/>
        <w:spacing w:after="0" w:line="240" w:lineRule="auto"/>
        <w:ind w:left="360"/>
        <w:contextualSpacing w:val="0"/>
        <w:jc w:val="center"/>
        <w:rPr>
          <w:rFonts w:asciiTheme="majorHAnsi" w:hAnsiTheme="majorHAnsi" w:cs="Arial"/>
          <w:b/>
          <w:i/>
        </w:rPr>
      </w:pPr>
      <w:r w:rsidRPr="00030FBE">
        <w:rPr>
          <w:rFonts w:asciiTheme="majorHAnsi" w:hAnsiTheme="majorHAnsi" w:cs="Arial"/>
          <w:b/>
          <w:i/>
        </w:rPr>
        <w:t>Transfer of a Uniform Video Service License (Sec. 1)</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Allows a UVSL to be transferred to any person through any type of transaction and does not function as an instrument to secure indebtedness.</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Requires the UVSL holder to submit a written notice of the transfer of the UVSL to the local government.</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States that the transferee becomes the holder of the UVSL once notice of the transfer has been filed with the local government.  </w:t>
      </w:r>
    </w:p>
    <w:p w:rsidR="00030FBE" w:rsidRPr="00030FBE" w:rsidRDefault="00030FBE" w:rsidP="00030FBE">
      <w:pPr>
        <w:jc w:val="center"/>
        <w:rPr>
          <w:rFonts w:asciiTheme="majorHAnsi" w:hAnsiTheme="majorHAnsi" w:cs="Arial"/>
          <w:b/>
          <w:i/>
          <w:sz w:val="22"/>
          <w:szCs w:val="22"/>
        </w:rPr>
      </w:pPr>
      <w:r w:rsidRPr="00030FBE">
        <w:rPr>
          <w:rFonts w:asciiTheme="majorHAnsi" w:hAnsiTheme="majorHAnsi" w:cs="Arial"/>
          <w:b/>
          <w:i/>
          <w:sz w:val="22"/>
          <w:szCs w:val="22"/>
        </w:rPr>
        <w:t>Extension of a Uniform Video Service License (Sec. 1)</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Requires the UVSL holder to file an extension with the clerk of a local government at least one month before expiration of the UVSL for a period not to exceed 10 years.       </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Specifies that a UVSL extension becomes effective after the date of the then current term. </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States that transferring, amending or modifying a UVSL does not extend the term of the UVSL.       </w:t>
      </w:r>
    </w:p>
    <w:p w:rsidR="00030FBE" w:rsidRPr="00030FBE" w:rsidRDefault="00030FBE" w:rsidP="00030FBE">
      <w:pPr>
        <w:pStyle w:val="ListParagraph"/>
        <w:spacing w:after="0" w:line="240" w:lineRule="auto"/>
        <w:ind w:left="360"/>
        <w:contextualSpacing w:val="0"/>
        <w:jc w:val="center"/>
        <w:rPr>
          <w:rFonts w:asciiTheme="majorHAnsi" w:hAnsiTheme="majorHAnsi" w:cs="Arial"/>
          <w:b/>
          <w:i/>
        </w:rPr>
      </w:pPr>
      <w:r w:rsidRPr="00030FBE">
        <w:rPr>
          <w:rFonts w:asciiTheme="majorHAnsi" w:hAnsiTheme="majorHAnsi" w:cs="Arial"/>
          <w:b/>
          <w:i/>
        </w:rPr>
        <w:t>Incumbent Cable Operator (Sec. 1)</w:t>
      </w:r>
    </w:p>
    <w:p w:rsidR="00030FBE" w:rsidRPr="00030FBE" w:rsidRDefault="00030FBE" w:rsidP="00030FBE">
      <w:pPr>
        <w:pStyle w:val="ListParagraph"/>
        <w:numPr>
          <w:ilvl w:val="0"/>
          <w:numId w:val="1"/>
        </w:numPr>
        <w:spacing w:after="0" w:line="240" w:lineRule="auto"/>
        <w:contextualSpacing w:val="0"/>
        <w:jc w:val="both"/>
        <w:rPr>
          <w:rFonts w:asciiTheme="majorHAnsi" w:hAnsiTheme="majorHAnsi" w:cs="Arial"/>
        </w:rPr>
      </w:pPr>
      <w:r w:rsidRPr="00030FBE">
        <w:rPr>
          <w:rFonts w:asciiTheme="majorHAnsi" w:hAnsiTheme="majorHAnsi" w:cs="Arial"/>
        </w:rPr>
        <w:t>Allows an ICO, beginning January 1, 2020, to do either of the following:</w:t>
      </w:r>
    </w:p>
    <w:p w:rsidR="00030FBE" w:rsidRPr="00030FBE" w:rsidRDefault="00030FBE" w:rsidP="00030FBE">
      <w:pPr>
        <w:pStyle w:val="ListParagraph"/>
        <w:numPr>
          <w:ilvl w:val="1"/>
          <w:numId w:val="1"/>
        </w:numPr>
        <w:spacing w:after="0" w:line="240" w:lineRule="auto"/>
        <w:contextualSpacing w:val="0"/>
        <w:jc w:val="both"/>
        <w:rPr>
          <w:rFonts w:asciiTheme="majorHAnsi" w:hAnsiTheme="majorHAnsi" w:cs="Arial"/>
        </w:rPr>
      </w:pPr>
      <w:r w:rsidRPr="00030FBE">
        <w:rPr>
          <w:rFonts w:asciiTheme="majorHAnsi" w:hAnsiTheme="majorHAnsi" w:cs="Arial"/>
        </w:rPr>
        <w:t>Continue to operate within a service area as defined in the local license; or</w:t>
      </w:r>
    </w:p>
    <w:p w:rsidR="00030FBE" w:rsidRPr="00030FBE" w:rsidRDefault="00030FBE" w:rsidP="00030FBE">
      <w:pPr>
        <w:pStyle w:val="ListParagraph"/>
        <w:numPr>
          <w:ilvl w:val="1"/>
          <w:numId w:val="1"/>
        </w:numPr>
        <w:spacing w:after="120" w:line="240" w:lineRule="auto"/>
        <w:contextualSpacing w:val="0"/>
        <w:jc w:val="both"/>
        <w:rPr>
          <w:rFonts w:asciiTheme="majorHAnsi" w:hAnsiTheme="majorHAnsi" w:cs="Arial"/>
        </w:rPr>
      </w:pPr>
      <w:r w:rsidRPr="00030FBE">
        <w:rPr>
          <w:rFonts w:asciiTheme="majorHAnsi" w:hAnsiTheme="majorHAnsi" w:cs="Arial"/>
        </w:rPr>
        <w:t>Terminate the ICO's local license for a service area by applying for and receiving a UVSL.</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Requires an ICO, by July 1, 2020, to apply for a UVSL in the same manner as a VSP. </w:t>
      </w:r>
    </w:p>
    <w:p w:rsidR="00030FBE" w:rsidRPr="00030FBE" w:rsidRDefault="00030FBE" w:rsidP="00030FBE">
      <w:pPr>
        <w:pStyle w:val="ListParagraph"/>
        <w:numPr>
          <w:ilvl w:val="0"/>
          <w:numId w:val="1"/>
        </w:numPr>
        <w:spacing w:after="0" w:line="240" w:lineRule="auto"/>
        <w:contextualSpacing w:val="0"/>
        <w:jc w:val="both"/>
        <w:rPr>
          <w:rFonts w:asciiTheme="majorHAnsi" w:hAnsiTheme="majorHAnsi" w:cs="Arial"/>
        </w:rPr>
      </w:pPr>
      <w:r w:rsidRPr="00030FBE">
        <w:rPr>
          <w:rFonts w:asciiTheme="majorHAnsi" w:hAnsiTheme="majorHAnsi" w:cs="Arial"/>
        </w:rPr>
        <w:t>Asserts that if an ICO obtains a UVSL, the following apply:</w:t>
      </w:r>
    </w:p>
    <w:p w:rsidR="00030FBE" w:rsidRPr="00030FBE" w:rsidRDefault="00030FBE" w:rsidP="00030FBE">
      <w:pPr>
        <w:pStyle w:val="ListParagraph"/>
        <w:numPr>
          <w:ilvl w:val="1"/>
          <w:numId w:val="1"/>
        </w:numPr>
        <w:spacing w:after="0" w:line="240" w:lineRule="auto"/>
        <w:contextualSpacing w:val="0"/>
        <w:jc w:val="both"/>
        <w:rPr>
          <w:rFonts w:asciiTheme="majorHAnsi" w:hAnsiTheme="majorHAnsi" w:cs="Arial"/>
        </w:rPr>
      </w:pPr>
      <w:r w:rsidRPr="00030FBE">
        <w:rPr>
          <w:rFonts w:asciiTheme="majorHAnsi" w:hAnsiTheme="majorHAnsi" w:cs="Arial"/>
        </w:rPr>
        <w:t>The ICO's local license is terminated on the date the UVSL is issued; and</w:t>
      </w:r>
    </w:p>
    <w:p w:rsidR="00030FBE" w:rsidRPr="00030FBE" w:rsidRDefault="00030FBE" w:rsidP="00030FBE">
      <w:pPr>
        <w:pStyle w:val="ListParagraph"/>
        <w:numPr>
          <w:ilvl w:val="1"/>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The ICO must operate within the confines of the local license, unless the ICO </w:t>
      </w:r>
      <w:proofErr w:type="gramStart"/>
      <w:r w:rsidRPr="00030FBE">
        <w:rPr>
          <w:rFonts w:asciiTheme="majorHAnsi" w:hAnsiTheme="majorHAnsi" w:cs="Arial"/>
        </w:rPr>
        <w:t>submits an application</w:t>
      </w:r>
      <w:proofErr w:type="gramEnd"/>
      <w:r w:rsidRPr="00030FBE">
        <w:rPr>
          <w:rFonts w:asciiTheme="majorHAnsi" w:hAnsiTheme="majorHAnsi" w:cs="Arial"/>
        </w:rPr>
        <w:t xml:space="preserve"> for a UVSL to expand the service area.     </w:t>
      </w:r>
    </w:p>
    <w:p w:rsidR="00030FBE" w:rsidRPr="00030FBE" w:rsidRDefault="00030FBE" w:rsidP="00030FBE">
      <w:pPr>
        <w:pStyle w:val="ListParagraph"/>
        <w:spacing w:after="0" w:line="240" w:lineRule="auto"/>
        <w:ind w:left="360"/>
        <w:contextualSpacing w:val="0"/>
        <w:jc w:val="center"/>
        <w:rPr>
          <w:rFonts w:asciiTheme="majorHAnsi" w:hAnsiTheme="majorHAnsi" w:cs="Arial"/>
          <w:b/>
          <w:i/>
        </w:rPr>
      </w:pPr>
      <w:r w:rsidRPr="00030FBE">
        <w:rPr>
          <w:rFonts w:asciiTheme="majorHAnsi" w:hAnsiTheme="majorHAnsi" w:cs="Arial"/>
          <w:b/>
          <w:i/>
        </w:rPr>
        <w:lastRenderedPageBreak/>
        <w:t>Incumbent Cable Operator; Procedure Under a Local License (Sec. 1)</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Allows an ICO to continue to use a local license until its expiration, if the ICO decides not to apply for a UVSL and the ICO then becomes an HCO under the </w:t>
      </w:r>
      <w:proofErr w:type="gramStart"/>
      <w:r w:rsidRPr="00030FBE">
        <w:rPr>
          <w:rFonts w:asciiTheme="majorHAnsi" w:hAnsiTheme="majorHAnsi" w:cs="Arial"/>
        </w:rPr>
        <w:t>aforementioned provision</w:t>
      </w:r>
      <w:proofErr w:type="gramEnd"/>
      <w:r w:rsidRPr="00030FBE">
        <w:rPr>
          <w:rFonts w:asciiTheme="majorHAnsi" w:hAnsiTheme="majorHAnsi" w:cs="Arial"/>
        </w:rPr>
        <w:t xml:space="preserve">. </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Prohibits a local government from renewing or extending the local license. </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Requires the HCO to apply for and obtain a UVSL once a local license expires.  </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Stipulates that if an HCO is issued a UVSL within a service area that matches the local license, the UVSL does not become effective until the local license expires.</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States that if the HCO decides to apply for a UVSL, the HCO must do so one month before the local license expires.  </w:t>
      </w:r>
    </w:p>
    <w:p w:rsidR="00030FBE" w:rsidRPr="00030FBE" w:rsidRDefault="00030FBE" w:rsidP="00030FBE">
      <w:pPr>
        <w:jc w:val="center"/>
        <w:rPr>
          <w:rFonts w:asciiTheme="majorHAnsi" w:hAnsiTheme="majorHAnsi" w:cs="Arial"/>
          <w:b/>
          <w:i/>
          <w:sz w:val="22"/>
          <w:szCs w:val="22"/>
        </w:rPr>
      </w:pPr>
      <w:r w:rsidRPr="00030FBE">
        <w:rPr>
          <w:rFonts w:asciiTheme="majorHAnsi" w:hAnsiTheme="majorHAnsi" w:cs="Arial"/>
          <w:b/>
          <w:i/>
          <w:sz w:val="22"/>
          <w:szCs w:val="22"/>
        </w:rPr>
        <w:t>Management of Highways by Local Governments (Sec. 1)</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Specifies a VSP's requirements to a local government regarding construction, installation and repairing of highways or facilities in, on, under, or over any highway in the affected service area. </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Allows a VSP to begin emergency repairs in, on, under or over any highway without prior approval from a local government if the VSP promptly notifies the local government.   </w:t>
      </w:r>
    </w:p>
    <w:p w:rsidR="00030FBE" w:rsidRPr="00030FBE" w:rsidRDefault="00030FBE" w:rsidP="00030FBE">
      <w:pPr>
        <w:spacing w:after="120"/>
        <w:jc w:val="center"/>
        <w:rPr>
          <w:rFonts w:asciiTheme="majorHAnsi" w:hAnsiTheme="majorHAnsi" w:cs="Arial"/>
          <w:b/>
          <w:i/>
          <w:sz w:val="22"/>
          <w:szCs w:val="22"/>
        </w:rPr>
      </w:pPr>
      <w:r w:rsidRPr="00030FBE">
        <w:rPr>
          <w:rFonts w:asciiTheme="majorHAnsi" w:hAnsiTheme="majorHAnsi" w:cs="Arial"/>
          <w:b/>
          <w:i/>
          <w:sz w:val="22"/>
          <w:szCs w:val="22"/>
        </w:rPr>
        <w:t>Office of Administrative Hearings</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Requires the OAH to receive complaints against a local government or a VSP and comply with the duties imposed on the OAH by VS statutes.  (Sec. 2)</w:t>
      </w:r>
    </w:p>
    <w:p w:rsidR="00030FBE" w:rsidRPr="00030FBE" w:rsidRDefault="00030FBE" w:rsidP="00030FBE">
      <w:pPr>
        <w:pStyle w:val="ListParagraph"/>
        <w:numPr>
          <w:ilvl w:val="0"/>
          <w:numId w:val="1"/>
        </w:numPr>
        <w:spacing w:after="0" w:line="240" w:lineRule="auto"/>
        <w:contextualSpacing w:val="0"/>
        <w:jc w:val="both"/>
        <w:rPr>
          <w:rFonts w:asciiTheme="majorHAnsi" w:hAnsiTheme="majorHAnsi" w:cs="Arial"/>
        </w:rPr>
      </w:pPr>
      <w:r w:rsidRPr="00030FBE">
        <w:rPr>
          <w:rFonts w:asciiTheme="majorHAnsi" w:hAnsiTheme="majorHAnsi" w:cs="Arial"/>
        </w:rPr>
        <w:t xml:space="preserve"> Establishes the VSP Complaint Fund which is subject to the following: </w:t>
      </w:r>
    </w:p>
    <w:p w:rsidR="00030FBE" w:rsidRPr="00030FBE" w:rsidRDefault="00030FBE" w:rsidP="00030FBE">
      <w:pPr>
        <w:pStyle w:val="ListParagraph"/>
        <w:numPr>
          <w:ilvl w:val="1"/>
          <w:numId w:val="1"/>
        </w:numPr>
        <w:spacing w:after="0" w:line="240" w:lineRule="auto"/>
        <w:contextualSpacing w:val="0"/>
        <w:jc w:val="both"/>
        <w:rPr>
          <w:rFonts w:asciiTheme="majorHAnsi" w:hAnsiTheme="majorHAnsi" w:cs="Arial"/>
        </w:rPr>
      </w:pPr>
      <w:r w:rsidRPr="00030FBE">
        <w:rPr>
          <w:rFonts w:asciiTheme="majorHAnsi" w:hAnsiTheme="majorHAnsi" w:cs="Arial"/>
        </w:rPr>
        <w:t>Administration by the OAH including deposits into the Fund;</w:t>
      </w:r>
    </w:p>
    <w:p w:rsidR="00030FBE" w:rsidRPr="00030FBE" w:rsidRDefault="00030FBE" w:rsidP="00030FBE">
      <w:pPr>
        <w:pStyle w:val="ListParagraph"/>
        <w:numPr>
          <w:ilvl w:val="1"/>
          <w:numId w:val="1"/>
        </w:numPr>
        <w:spacing w:after="0" w:line="240" w:lineRule="auto"/>
        <w:contextualSpacing w:val="0"/>
        <w:jc w:val="both"/>
        <w:rPr>
          <w:rFonts w:asciiTheme="majorHAnsi" w:hAnsiTheme="majorHAnsi" w:cs="Arial"/>
        </w:rPr>
      </w:pPr>
      <w:r w:rsidRPr="00030FBE">
        <w:rPr>
          <w:rFonts w:asciiTheme="majorHAnsi" w:hAnsiTheme="majorHAnsi" w:cs="Arial"/>
        </w:rPr>
        <w:t>Monies in the fund are continuously appropriated; and</w:t>
      </w:r>
    </w:p>
    <w:p w:rsidR="00030FBE" w:rsidRPr="00030FBE" w:rsidRDefault="00030FBE" w:rsidP="00030FBE">
      <w:pPr>
        <w:pStyle w:val="ListParagraph"/>
        <w:numPr>
          <w:ilvl w:val="1"/>
          <w:numId w:val="1"/>
        </w:numPr>
        <w:spacing w:after="120" w:line="240" w:lineRule="auto"/>
        <w:contextualSpacing w:val="0"/>
        <w:jc w:val="both"/>
        <w:rPr>
          <w:rFonts w:asciiTheme="majorHAnsi" w:hAnsiTheme="majorHAnsi" w:cs="Arial"/>
        </w:rPr>
      </w:pPr>
      <w:r w:rsidRPr="00030FBE">
        <w:rPr>
          <w:rFonts w:asciiTheme="majorHAnsi" w:hAnsiTheme="majorHAnsi" w:cs="Arial"/>
        </w:rPr>
        <w:t>Any monies from the Fund are used for administration and enforcement purposes.  (Sec. 1)</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Outlines the complaint process and the statute of limitations for a local government and a VSP.  (Sec. 1)</w:t>
      </w:r>
    </w:p>
    <w:p w:rsidR="00030FBE" w:rsidRPr="00030FBE" w:rsidRDefault="00030FBE" w:rsidP="00030FBE">
      <w:pPr>
        <w:pStyle w:val="ListParagraph"/>
        <w:spacing w:after="0" w:line="240" w:lineRule="auto"/>
        <w:ind w:left="360"/>
        <w:contextualSpacing w:val="0"/>
        <w:jc w:val="center"/>
        <w:rPr>
          <w:rFonts w:asciiTheme="majorHAnsi" w:hAnsiTheme="majorHAnsi" w:cs="Arial"/>
          <w:b/>
          <w:i/>
        </w:rPr>
      </w:pPr>
      <w:r w:rsidRPr="00030FBE">
        <w:rPr>
          <w:rFonts w:asciiTheme="majorHAnsi" w:hAnsiTheme="majorHAnsi" w:cs="Arial"/>
          <w:b/>
          <w:i/>
        </w:rPr>
        <w:t>Miscellaneous</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Requires a local government to notify each VSP in a timely manner if the boundaries of a local government change</w:t>
      </w:r>
      <w:bookmarkStart w:id="6" w:name="_Hlk506122060"/>
      <w:r w:rsidRPr="00030FBE">
        <w:rPr>
          <w:rFonts w:asciiTheme="majorHAnsi" w:hAnsiTheme="majorHAnsi" w:cs="Arial"/>
        </w:rPr>
        <w:t>.</w:t>
      </w:r>
      <w:bookmarkEnd w:id="6"/>
      <w:r w:rsidRPr="00030FBE">
        <w:rPr>
          <w:rFonts w:asciiTheme="majorHAnsi" w:hAnsiTheme="majorHAnsi" w:cs="Arial"/>
        </w:rPr>
        <w:t xml:space="preserve">  (Sec. 1)</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Specifies the complaint process for a VS subscriber to the following: the local government; the Attorney General; the Federal Communications Commission or other lawful authorities.  (Sec. 1)</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Requires a UVSL holder to provide VS to at least one subscriber in each authorized service area within 24 months or risk revocation of the UVSL in the affected areas.  (Sec. 1)   </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Outlines VSP semiannual reporting requirements to a local government that is receiving VS and stipulates all information as confidential proprietary information of the VSP and not considered as a public record.  (Sec. 1) </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Lists the requirements for a VSP to be compliant with standards in federal law.  (Sec. 1)  </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Outlines television channel requirements a local government may impose on a VSP.  (Sec. 1)     </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Allows a city or town to acquire an ownership interest in a VSN if it is acquired at not less than fair market value.  (Sec. 1)    </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Contains legislative findings.  (Sec. 3)</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rPr>
        <w:t xml:space="preserve">Defines pertinent terms.  (Sec. 1) </w:t>
      </w:r>
    </w:p>
    <w:p w:rsidR="00030FBE" w:rsidRPr="00030FBE" w:rsidRDefault="00030FBE" w:rsidP="00030FBE">
      <w:pPr>
        <w:pStyle w:val="ListParagraph"/>
        <w:numPr>
          <w:ilvl w:val="0"/>
          <w:numId w:val="1"/>
        </w:numPr>
        <w:spacing w:after="120" w:line="240" w:lineRule="auto"/>
        <w:contextualSpacing w:val="0"/>
        <w:jc w:val="both"/>
        <w:rPr>
          <w:rFonts w:asciiTheme="majorHAnsi" w:hAnsiTheme="majorHAnsi" w:cs="Arial"/>
        </w:rPr>
      </w:pPr>
      <w:r w:rsidRPr="00030FBE">
        <w:rPr>
          <w:rFonts w:asciiTheme="majorHAnsi" w:hAnsiTheme="majorHAnsi" w:cs="Arial"/>
          <w:b/>
          <w:color w:val="7030A0"/>
        </w:rPr>
        <w:t xml:space="preserve">MAKES CLARIFYING AND CONFORMING CHANGES.  </w:t>
      </w:r>
      <w:r w:rsidRPr="00030FBE">
        <w:rPr>
          <w:rFonts w:asciiTheme="majorHAnsi" w:hAnsiTheme="majorHAnsi" w:cs="Arial"/>
        </w:rPr>
        <w:t>(</w:t>
      </w:r>
      <w:proofErr w:type="spellStart"/>
      <w:r w:rsidRPr="00030FBE">
        <w:rPr>
          <w:rFonts w:asciiTheme="majorHAnsi" w:hAnsiTheme="majorHAnsi" w:cs="Arial"/>
          <w:i/>
        </w:rPr>
        <w:t>Approp</w:t>
      </w:r>
      <w:proofErr w:type="spellEnd"/>
      <w:r w:rsidRPr="00030FBE">
        <w:rPr>
          <w:rFonts w:asciiTheme="majorHAnsi" w:hAnsiTheme="majorHAnsi" w:cs="Arial"/>
        </w:rPr>
        <w:t>)</w:t>
      </w:r>
    </w:p>
    <w:p w:rsidR="00030FBE" w:rsidRPr="00030FBE" w:rsidRDefault="00030FBE" w:rsidP="00030FBE">
      <w:pPr>
        <w:jc w:val="both"/>
        <w:rPr>
          <w:rFonts w:asciiTheme="majorHAnsi" w:hAnsiTheme="majorHAnsi" w:cs="Arial"/>
          <w:b/>
          <w:sz w:val="22"/>
          <w:szCs w:val="22"/>
          <w:u w:val="single"/>
        </w:rPr>
      </w:pPr>
    </w:p>
    <w:p w:rsidR="00030FBE" w:rsidRPr="00030FBE" w:rsidRDefault="00030FBE" w:rsidP="00030FBE">
      <w:pPr>
        <w:jc w:val="both"/>
        <w:rPr>
          <w:rFonts w:asciiTheme="majorHAnsi" w:hAnsiTheme="majorHAnsi" w:cs="Arial"/>
          <w:b/>
          <w:sz w:val="22"/>
          <w:szCs w:val="22"/>
          <w:u w:val="single"/>
        </w:rPr>
      </w:pPr>
      <w:r w:rsidRPr="00030FBE">
        <w:rPr>
          <w:rFonts w:asciiTheme="majorHAnsi" w:hAnsiTheme="majorHAnsi" w:cs="Arial"/>
          <w:b/>
          <w:sz w:val="22"/>
          <w:szCs w:val="22"/>
          <w:u w:val="single"/>
        </w:rPr>
        <w:t>Current Law and Additional Information</w:t>
      </w:r>
    </w:p>
    <w:p w:rsidR="00030FBE" w:rsidRPr="00030FBE" w:rsidRDefault="00030FBE" w:rsidP="00030FBE">
      <w:pPr>
        <w:jc w:val="both"/>
        <w:rPr>
          <w:rFonts w:asciiTheme="majorHAnsi" w:hAnsiTheme="majorHAnsi" w:cs="Arial"/>
          <w:sz w:val="22"/>
          <w:szCs w:val="22"/>
        </w:rPr>
      </w:pPr>
      <w:r w:rsidRPr="00030FBE">
        <w:rPr>
          <w:rFonts w:asciiTheme="majorHAnsi" w:hAnsiTheme="majorHAnsi" w:cs="Arial"/>
          <w:sz w:val="22"/>
          <w:szCs w:val="22"/>
        </w:rPr>
        <w:t xml:space="preserve">Laws 2017, </w:t>
      </w:r>
      <w:hyperlink r:id="rId10" w:history="1">
        <w:r w:rsidRPr="00030FBE">
          <w:rPr>
            <w:rStyle w:val="Hyperlink"/>
            <w:rFonts w:asciiTheme="majorHAnsi" w:hAnsiTheme="majorHAnsi" w:cs="Arial"/>
            <w:sz w:val="22"/>
            <w:szCs w:val="22"/>
          </w:rPr>
          <w:t>Chapter 124</w:t>
        </w:r>
      </w:hyperlink>
      <w:r w:rsidRPr="00030FBE">
        <w:rPr>
          <w:rFonts w:asciiTheme="majorHAnsi" w:hAnsiTheme="majorHAnsi" w:cs="Arial"/>
          <w:sz w:val="22"/>
          <w:szCs w:val="22"/>
        </w:rPr>
        <w:t xml:space="preserve">, established a permit process for a wireless provider to install, maintain or replace a wireless facility, utility pole or monopole inside or outside a right-of-way as outlined. Details the following: approval process; fee and height limitations; requirements to collocate and consolidate an application; and timeframe for project completion.  The new law preserves existing agreements and details a termination process.  Statute outlines exemptions that include private easements and certain authorities within 10 miles of the Mexican border as noted.  </w:t>
      </w:r>
    </w:p>
    <w:p w:rsidR="00030FBE" w:rsidRDefault="00030FBE">
      <w:pPr>
        <w:tabs>
          <w:tab w:val="left" w:pos="1710"/>
          <w:tab w:val="left" w:pos="3240"/>
          <w:tab w:val="left" w:pos="4860"/>
          <w:tab w:val="left" w:pos="5760"/>
        </w:tabs>
        <w:rPr>
          <w:rFonts w:ascii="Arial" w:hAnsi="Arial"/>
          <w:sz w:val="22"/>
        </w:rPr>
        <w:sectPr w:rsidR="00030FBE" w:rsidSect="001C7498">
          <w:type w:val="continuous"/>
          <w:pgSz w:w="12240" w:h="15840"/>
          <w:pgMar w:top="1440" w:right="1440" w:bottom="1440" w:left="1440" w:header="720" w:footer="720" w:gutter="0"/>
          <w:cols w:space="720"/>
          <w:docGrid w:linePitch="360"/>
        </w:sectPr>
      </w:pPr>
    </w:p>
    <w:p w:rsidR="00030FBE" w:rsidRDefault="00030FBE" w:rsidP="00030FBE">
      <w:pPr>
        <w:pStyle w:val="Heading1"/>
        <w:jc w:val="center"/>
      </w:pPr>
      <w:r>
        <w:rPr>
          <w:noProof/>
        </w:rPr>
        <w:lastRenderedPageBreak/>
        <w:drawing>
          <wp:anchor distT="0" distB="0" distL="114300" distR="114300" simplePos="0" relativeHeight="251653632" behindDoc="1" locked="0" layoutInCell="1" allowOverlap="1" wp14:anchorId="2CD5F7C7" wp14:editId="278F4AF6">
            <wp:simplePos x="0" y="0"/>
            <wp:positionH relativeFrom="column">
              <wp:posOffset>2362835</wp:posOffset>
            </wp:positionH>
            <wp:positionV relativeFrom="paragraph">
              <wp:posOffset>-322580</wp:posOffset>
            </wp:positionV>
            <wp:extent cx="1214755" cy="1165860"/>
            <wp:effectExtent l="0" t="0" r="0" b="0"/>
            <wp:wrapNone/>
            <wp:docPr id="6" name="Picture 6"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8"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8">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030FBE" w:rsidRDefault="00030FBE" w:rsidP="00030FBE">
      <w:pPr>
        <w:jc w:val="center"/>
        <w:sectPr w:rsidR="00030FBE" w:rsidSect="001C7498">
          <w:footerReference w:type="default" r:id="rId11"/>
          <w:pgSz w:w="12240" w:h="15840"/>
          <w:pgMar w:top="1080" w:right="1440" w:bottom="1440" w:left="1440" w:header="720" w:footer="720" w:gutter="0"/>
          <w:cols w:space="720"/>
          <w:docGrid w:linePitch="360"/>
        </w:sectPr>
      </w:pPr>
      <w:bookmarkStart w:id="7" w:name="sb1196"/>
      <w:bookmarkEnd w:id="7"/>
    </w:p>
    <w:p w:rsidR="00030FBE" w:rsidRDefault="00030FBE" w:rsidP="00030FBE">
      <w:pPr>
        <w:rPr>
          <w:b/>
        </w:rPr>
      </w:pPr>
    </w:p>
    <w:tbl>
      <w:tblPr>
        <w:tblStyle w:val="TableGrid"/>
        <w:tblpPr w:leftFromText="180" w:rightFromText="180" w:vertAnchor="page" w:horzAnchor="margin" w:tblpY="2326"/>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25"/>
        <w:gridCol w:w="4770"/>
      </w:tblGrid>
      <w:tr w:rsidR="00030FBE" w:rsidTr="00107E03">
        <w:tc>
          <w:tcPr>
            <w:tcW w:w="9895" w:type="dxa"/>
            <w:gridSpan w:val="2"/>
          </w:tcPr>
          <w:p w:rsidR="00030FBE" w:rsidRPr="002B09D5" w:rsidRDefault="00030FBE" w:rsidP="00107E03">
            <w:pPr>
              <w:spacing w:after="120"/>
              <w:rPr>
                <w:rFonts w:ascii="Cambria" w:hAnsi="Cambria" w:cs="Arial"/>
                <w:noProof/>
                <w:sz w:val="28"/>
                <w:szCs w:val="28"/>
                <w:u w:val="single"/>
              </w:rPr>
            </w:pPr>
            <w:r>
              <w:rPr>
                <w:rFonts w:ascii="Cambria" w:hAnsi="Cambria" w:cs="Arial"/>
                <w:b/>
                <w:noProof/>
                <w:sz w:val="28"/>
                <w:szCs w:val="28"/>
                <w:u w:val="single"/>
              </w:rPr>
              <w:t>SB 1196:</w:t>
            </w:r>
            <w:r w:rsidRPr="00803606">
              <w:rPr>
                <w:rFonts w:ascii="Cambria" w:hAnsi="Cambria" w:cs="Arial"/>
                <w:noProof/>
                <w:sz w:val="28"/>
                <w:szCs w:val="28"/>
                <w:u w:val="single"/>
              </w:rPr>
              <w:t xml:space="preserve"> </w:t>
            </w:r>
            <w:r>
              <w:rPr>
                <w:rFonts w:ascii="Cambria" w:hAnsi="Cambria" w:cs="Arial"/>
                <w:noProof/>
                <w:sz w:val="28"/>
                <w:szCs w:val="28"/>
                <w:u w:val="single"/>
              </w:rPr>
              <w:t>S/E charter enrollment preference</w:t>
            </w:r>
          </w:p>
        </w:tc>
      </w:tr>
      <w:tr w:rsidR="00030FBE" w:rsidTr="00107E03">
        <w:tc>
          <w:tcPr>
            <w:tcW w:w="5125" w:type="dxa"/>
          </w:tcPr>
          <w:p w:rsidR="00030FBE" w:rsidRPr="001C7498" w:rsidRDefault="00030FBE" w:rsidP="00107E03">
            <w:pPr>
              <w:spacing w:after="120"/>
              <w:rPr>
                <w:rFonts w:ascii="Cambria" w:hAnsi="Cambria" w:cs="Arial"/>
                <w:sz w:val="22"/>
              </w:rPr>
            </w:pPr>
            <w:r w:rsidRPr="001C7498">
              <w:rPr>
                <w:rFonts w:ascii="Cambria" w:hAnsi="Cambria" w:cs="Arial"/>
                <w:b/>
                <w:sz w:val="22"/>
              </w:rPr>
              <w:t>PRIME SPONSOR:</w:t>
            </w:r>
            <w:r w:rsidRPr="001C7498">
              <w:rPr>
                <w:rFonts w:ascii="Cambria" w:hAnsi="Cambria" w:cs="Arial"/>
                <w:sz w:val="22"/>
              </w:rPr>
              <w:t xml:space="preserve"> Senator </w:t>
            </w:r>
            <w:proofErr w:type="spellStart"/>
            <w:r w:rsidRPr="001C7498">
              <w:rPr>
                <w:rFonts w:ascii="Cambria" w:hAnsi="Cambria" w:cs="Arial"/>
                <w:sz w:val="22"/>
              </w:rPr>
              <w:t>Barto</w:t>
            </w:r>
            <w:proofErr w:type="spellEnd"/>
            <w:r w:rsidRPr="001C7498">
              <w:rPr>
                <w:rFonts w:ascii="Cambria" w:hAnsi="Cambria" w:cs="Arial"/>
                <w:sz w:val="22"/>
              </w:rPr>
              <w:t>, LD 15</w:t>
            </w:r>
          </w:p>
          <w:p w:rsidR="00030FBE" w:rsidRPr="001C7498" w:rsidRDefault="00030FBE" w:rsidP="00107E03">
            <w:pPr>
              <w:rPr>
                <w:rFonts w:ascii="Cambria" w:hAnsi="Cambria" w:cs="Arial"/>
                <w:sz w:val="22"/>
              </w:rPr>
            </w:pPr>
            <w:r w:rsidRPr="001C7498">
              <w:rPr>
                <w:rFonts w:ascii="Cambria" w:hAnsi="Cambria" w:cs="Arial"/>
                <w:b/>
                <w:sz w:val="22"/>
              </w:rPr>
              <w:t>BILL STATUS:</w:t>
            </w:r>
            <w:r w:rsidRPr="001C7498">
              <w:rPr>
                <w:rFonts w:ascii="Cambria" w:hAnsi="Cambria" w:cs="Arial"/>
                <w:sz w:val="22"/>
              </w:rPr>
              <w:t xml:space="preserve"> </w:t>
            </w:r>
            <w:hyperlink r:id="rId12" w:tooltip="Bill Status Inquiry" w:history="1">
              <w:r w:rsidRPr="001C7498">
                <w:rPr>
                  <w:rStyle w:val="Hyperlink"/>
                  <w:rFonts w:ascii="Cambria" w:hAnsi="Cambria"/>
                  <w:sz w:val="22"/>
                </w:rPr>
                <w:t>Caucus &amp; COW</w:t>
              </w:r>
            </w:hyperlink>
          </w:p>
          <w:tbl>
            <w:tblPr>
              <w:tblStyle w:val="TableGrid"/>
              <w:tblW w:w="0" w:type="auto"/>
              <w:tblLook w:val="04A0" w:firstRow="1" w:lastRow="0" w:firstColumn="1" w:lastColumn="0" w:noHBand="0" w:noVBand="1"/>
            </w:tblPr>
            <w:tblGrid>
              <w:gridCol w:w="5115"/>
            </w:tblGrid>
            <w:tr w:rsidR="00030FBE" w:rsidRPr="001C7498" w:rsidTr="00385E68">
              <w:tc>
                <w:tcPr>
                  <w:tcW w:w="5115" w:type="dxa"/>
                  <w:tcBorders>
                    <w:top w:val="nil"/>
                    <w:left w:val="nil"/>
                    <w:bottom w:val="nil"/>
                    <w:right w:val="nil"/>
                  </w:tcBorders>
                  <w:tcMar>
                    <w:left w:w="0" w:type="dxa"/>
                    <w:right w:w="0" w:type="dxa"/>
                  </w:tcMar>
                </w:tcPr>
                <w:p w:rsidR="00030FBE" w:rsidRPr="001C7498" w:rsidRDefault="00030FBE" w:rsidP="00107E03">
                  <w:pPr>
                    <w:framePr w:hSpace="180" w:wrap="around" w:vAnchor="page" w:hAnchor="margin" w:y="2326"/>
                    <w:rPr>
                      <w:rFonts w:ascii="Cambria" w:hAnsi="Cambria" w:cs="Arial"/>
                      <w:sz w:val="22"/>
                    </w:rPr>
                  </w:pPr>
                  <w:r w:rsidRPr="001C7498">
                    <w:rPr>
                      <w:rFonts w:ascii="Cambria" w:hAnsi="Cambria" w:cs="Arial"/>
                      <w:sz w:val="22"/>
                    </w:rPr>
                    <w:tab/>
                    <w:t>APPROP: DPA/SE 8-5-0-0</w:t>
                  </w:r>
                </w:p>
              </w:tc>
            </w:tr>
          </w:tbl>
          <w:p w:rsidR="00030FBE" w:rsidRPr="00C6092E" w:rsidRDefault="00030FBE" w:rsidP="00107E03">
            <w:pPr>
              <w:rPr>
                <w:rFonts w:ascii="Cambria" w:hAnsi="Cambria" w:cs="Arial"/>
              </w:rPr>
            </w:pPr>
          </w:p>
        </w:tc>
        <w:tc>
          <w:tcPr>
            <w:tcW w:w="4770" w:type="dxa"/>
          </w:tcPr>
          <w:p w:rsidR="00030FBE" w:rsidRDefault="00030FBE" w:rsidP="00107E03">
            <w:pPr>
              <w:rPr>
                <w:rFonts w:ascii="Cambria" w:hAnsi="Cambria" w:cs="Arial"/>
              </w:rPr>
            </w:pPr>
            <w:r w:rsidRPr="001C5438">
              <w:rPr>
                <w:rFonts w:ascii="Cambria" w:hAnsi="Cambria" w:cs="Arial"/>
                <w:noProof/>
              </w:rPr>
              <mc:AlternateContent>
                <mc:Choice Requires="wps">
                  <w:drawing>
                    <wp:anchor distT="0" distB="0" distL="114300" distR="114300" simplePos="0" relativeHeight="251656704" behindDoc="1" locked="1" layoutInCell="1" allowOverlap="0" wp14:anchorId="3F3B85A6" wp14:editId="698319AD">
                      <wp:simplePos x="0" y="0"/>
                      <wp:positionH relativeFrom="margin">
                        <wp:posOffset>3175</wp:posOffset>
                      </wp:positionH>
                      <wp:positionV relativeFrom="page">
                        <wp:posOffset>66040</wp:posOffset>
                      </wp:positionV>
                      <wp:extent cx="2669540" cy="561975"/>
                      <wp:effectExtent l="0" t="0" r="16510" b="28575"/>
                      <wp:wrapTight wrapText="bothSides">
                        <wp:wrapPolygon edited="0">
                          <wp:start x="0" y="0"/>
                          <wp:lineTo x="0" y="21966"/>
                          <wp:lineTo x="21579" y="21966"/>
                          <wp:lineTo x="21579" y="0"/>
                          <wp:lineTo x="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30FBE" w:rsidRPr="00F34CC1" w:rsidRDefault="00030FBE" w:rsidP="00030FBE">
                                  <w:pPr>
                                    <w:rPr>
                                      <w:b/>
                                      <w:u w:val="single"/>
                                    </w:rPr>
                                  </w:pPr>
                                  <w:r w:rsidRPr="00BB4358">
                                    <w:rPr>
                                      <w:b/>
                                      <w:u w:val="single"/>
                                    </w:rPr>
                                    <w:t>Legend:</w:t>
                                  </w:r>
                                </w:p>
                                <w:p w:rsidR="00030FBE" w:rsidRPr="00BB4358" w:rsidRDefault="00030FBE" w:rsidP="00030FBE">
                                  <w:r w:rsidRPr="00BB4358">
                                    <w:t xml:space="preserve">Amendments </w:t>
                                  </w:r>
                                  <w:r>
                                    <w:t xml:space="preserve">– </w:t>
                                  </w:r>
                                  <w:r w:rsidRPr="004357B7">
                                    <w:rPr>
                                      <w:b/>
                                      <w:color w:val="7030A0"/>
                                    </w:rPr>
                                    <w:t>BOLD</w:t>
                                  </w:r>
                                  <w:r w:rsidRPr="00BB4358">
                                    <w:rPr>
                                      <w:b/>
                                    </w:rPr>
                                    <w:t xml:space="preserve"> </w:t>
                                  </w:r>
                                  <w:r w:rsidRPr="00BB4358">
                                    <w:t xml:space="preserve">and </w:t>
                                  </w:r>
                                  <w:r w:rsidRPr="00C647C5">
                                    <w:rPr>
                                      <w:strike/>
                                      <w:color w:val="FF0000"/>
                                    </w:rPr>
                                    <w:t>Stricken</w:t>
                                  </w:r>
                                  <w:r w:rsidRPr="00BB4358">
                                    <w:t xml:space="preserve"> </w:t>
                                  </w:r>
                                  <w:r>
                                    <w:t>(</w:t>
                                  </w:r>
                                  <w:r>
                                    <w:rPr>
                                      <w:i/>
                                    </w:rPr>
                                    <w:t>Committee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B85A6" id="_x0000_s1028" type="#_x0000_t202" style="position:absolute;margin-left:.25pt;margin-top:5.2pt;width:210.2pt;height:44.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" o:allowoverlap="f" filled="f">
                      <v:textbox>
                        <w:txbxContent>
                          <w:p w:rsidR="00030FBE" w:rsidRPr="00F34CC1" w:rsidRDefault="00030FBE" w:rsidP="00030FBE">
                            <w:pPr>
                              <w:rPr>
                                <w:b/>
                                <w:u w:val="single"/>
                              </w:rPr>
                            </w:pPr>
                            <w:r w:rsidRPr="00BB4358">
                              <w:rPr>
                                <w:b/>
                                <w:u w:val="single"/>
                              </w:rPr>
                              <w:t>Legend:</w:t>
                            </w:r>
                          </w:p>
                          <w:p w:rsidR="00030FBE" w:rsidRPr="00BB4358" w:rsidRDefault="00030FBE" w:rsidP="00030FBE">
                            <w:r w:rsidRPr="00BB4358">
                              <w:t xml:space="preserve">Amendments </w:t>
                            </w:r>
                            <w:r>
                              <w:t xml:space="preserve">– </w:t>
                            </w:r>
                            <w:r w:rsidRPr="004357B7">
                              <w:rPr>
                                <w:b/>
                                <w:color w:val="7030A0"/>
                              </w:rPr>
                              <w:t>BOLD</w:t>
                            </w:r>
                            <w:r w:rsidRPr="00BB4358">
                              <w:rPr>
                                <w:b/>
                              </w:rPr>
                              <w:t xml:space="preserve"> </w:t>
                            </w:r>
                            <w:r w:rsidRPr="00BB4358">
                              <w:t xml:space="preserve">and </w:t>
                            </w:r>
                            <w:r w:rsidRPr="00C647C5">
                              <w:rPr>
                                <w:strike/>
                                <w:color w:val="FF0000"/>
                              </w:rPr>
                              <w:t>Stricken</w:t>
                            </w:r>
                            <w:r w:rsidRPr="00BB4358">
                              <w:t xml:space="preserve"> </w:t>
                            </w:r>
                            <w:r>
                              <w:t>(</w:t>
                            </w:r>
                            <w:r>
                              <w:rPr>
                                <w:i/>
                              </w:rPr>
                              <w:t>Committee</w:t>
                            </w:r>
                            <w:r>
                              <w:t>)</w:t>
                            </w:r>
                          </w:p>
                        </w:txbxContent>
                      </v:textbox>
                      <w10:wrap type="tight" anchorx="margin" anchory="page"/>
                      <w10:anchorlock/>
                    </v:shape>
                  </w:pict>
                </mc:Fallback>
              </mc:AlternateContent>
            </w:r>
          </w:p>
        </w:tc>
      </w:tr>
    </w:tbl>
    <w:p w:rsidR="00030FBE" w:rsidRPr="00107E03" w:rsidRDefault="00030FBE" w:rsidP="00107E03">
      <w:pPr>
        <w:spacing w:before="200"/>
        <w:jc w:val="both"/>
        <w:rPr>
          <w:rFonts w:asciiTheme="majorHAnsi" w:hAnsiTheme="majorHAnsi" w:cs="Arial"/>
          <w:b/>
          <w:sz w:val="22"/>
          <w:szCs w:val="22"/>
          <w:u w:val="single"/>
        </w:rPr>
      </w:pPr>
      <w:r w:rsidRPr="00107E03">
        <w:rPr>
          <w:rFonts w:asciiTheme="majorHAnsi" w:hAnsiTheme="majorHAnsi" w:cs="Arial"/>
          <w:b/>
          <w:sz w:val="22"/>
          <w:szCs w:val="22"/>
          <w:u w:val="single"/>
        </w:rPr>
        <w:t>Abstract</w:t>
      </w:r>
    </w:p>
    <w:p w:rsidR="00030FBE" w:rsidRPr="00107E03" w:rsidRDefault="00030FBE" w:rsidP="00107E03">
      <w:pPr>
        <w:spacing w:after="120"/>
        <w:jc w:val="both"/>
        <w:rPr>
          <w:rFonts w:asciiTheme="majorHAnsi" w:hAnsiTheme="majorHAnsi" w:cs="Arial"/>
          <w:sz w:val="22"/>
          <w:szCs w:val="22"/>
        </w:rPr>
      </w:pPr>
      <w:r w:rsidRPr="00107E03">
        <w:rPr>
          <w:rFonts w:asciiTheme="majorHAnsi" w:hAnsiTheme="majorHAnsi" w:cs="Arial"/>
          <w:noProof/>
          <w:sz w:val="22"/>
          <w:szCs w:val="22"/>
        </w:rPr>
        <mc:AlternateContent>
          <mc:Choice Requires="wps">
            <w:drawing>
              <wp:anchor distT="0" distB="0" distL="114300" distR="114300" simplePos="0" relativeHeight="251661824" behindDoc="1" locked="1" layoutInCell="1" allowOverlap="0" wp14:anchorId="657D0306" wp14:editId="07E9DCB8">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rsidR="00030FBE" w:rsidRDefault="00030FBE" w:rsidP="00030FBE">
                            <w:pPr>
                              <w:jc w:val="center"/>
                            </w:pPr>
                            <w:sdt>
                              <w:sdtPr>
                                <w:tag w:val="Prop105"/>
                                <w:id w:val="-462256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4804263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3889929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374885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D0306" id="_x0000_s1029" type="#_x0000_t202" style="position:absolute;left:0;text-align:left;margin-left:0;margin-top:628.5pt;width:468pt;height:21.6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B90UNGLgIAAFcEAAAOAAAAAAAAAAAAAAAAAC4CAABk&#10;cnMvZTJvRG9jLnhtbFBLAQItABQABgAIAAAAIQD4CaEL3gAAAAoBAAAPAAAAAAAAAAAAAAAAAIgE&#10;AABkcnMvZG93bnJldi54bWxQSwUGAAAAAAQABADzAAAAkwUAAAAA&#10;" o:allowoverlap="f">
                <v:textbox>
                  <w:txbxContent>
                    <w:p w:rsidR="00030FBE" w:rsidRDefault="00030FBE" w:rsidP="00030FBE">
                      <w:pPr>
                        <w:jc w:val="center"/>
                      </w:pPr>
                      <w:sdt>
                        <w:sdtPr>
                          <w:tag w:val="Prop105"/>
                          <w:id w:val="-462256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4804263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3889929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374885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margin" anchory="margin"/>
                <w10:anchorlock/>
              </v:shape>
            </w:pict>
          </mc:Fallback>
        </mc:AlternateContent>
      </w:r>
      <w:r w:rsidRPr="00107E03">
        <w:rPr>
          <w:rFonts w:asciiTheme="majorHAnsi" w:hAnsiTheme="majorHAnsi" w:cs="Arial"/>
          <w:sz w:val="22"/>
          <w:szCs w:val="22"/>
        </w:rPr>
        <w:t>Relating to charter school enrollment preference.</w:t>
      </w:r>
    </w:p>
    <w:p w:rsidR="00030FBE" w:rsidRPr="00107E03" w:rsidRDefault="00030FBE" w:rsidP="00107E03">
      <w:pPr>
        <w:jc w:val="both"/>
        <w:rPr>
          <w:rFonts w:asciiTheme="majorHAnsi" w:hAnsiTheme="majorHAnsi" w:cs="Arial"/>
          <w:b/>
          <w:sz w:val="22"/>
          <w:szCs w:val="22"/>
          <w:u w:val="single"/>
        </w:rPr>
      </w:pPr>
      <w:r w:rsidRPr="00107E03">
        <w:rPr>
          <w:rFonts w:asciiTheme="majorHAnsi" w:hAnsiTheme="majorHAnsi" w:cs="Arial"/>
          <w:b/>
          <w:sz w:val="22"/>
          <w:szCs w:val="22"/>
          <w:u w:val="single"/>
        </w:rPr>
        <w:t>Provisions</w:t>
      </w:r>
    </w:p>
    <w:p w:rsidR="00030FBE" w:rsidRPr="00107E03" w:rsidRDefault="00030FBE" w:rsidP="00107E03">
      <w:pPr>
        <w:pStyle w:val="ListParagraph"/>
        <w:numPr>
          <w:ilvl w:val="0"/>
          <w:numId w:val="3"/>
        </w:numPr>
        <w:spacing w:after="120" w:line="240" w:lineRule="auto"/>
        <w:contextualSpacing w:val="0"/>
        <w:jc w:val="both"/>
        <w:rPr>
          <w:rFonts w:asciiTheme="majorHAnsi" w:hAnsiTheme="majorHAnsi" w:cs="Arial"/>
        </w:rPr>
      </w:pPr>
      <w:r w:rsidRPr="00107E03">
        <w:rPr>
          <w:rFonts w:asciiTheme="majorHAnsi" w:hAnsiTheme="majorHAnsi" w:cs="Arial"/>
        </w:rPr>
        <w:t>Requires a charter school to give enrollment preference to pupils who apply to reenroll at the charter school after withdrawing from enrollment.</w:t>
      </w:r>
    </w:p>
    <w:p w:rsidR="00030FBE" w:rsidRPr="00107E03" w:rsidRDefault="00030FBE" w:rsidP="00107E03">
      <w:pPr>
        <w:pStyle w:val="ListParagraph"/>
        <w:numPr>
          <w:ilvl w:val="0"/>
          <w:numId w:val="3"/>
        </w:numPr>
        <w:spacing w:after="0" w:line="240" w:lineRule="auto"/>
        <w:contextualSpacing w:val="0"/>
        <w:jc w:val="both"/>
        <w:rPr>
          <w:rFonts w:asciiTheme="majorHAnsi" w:hAnsiTheme="majorHAnsi" w:cs="Arial"/>
        </w:rPr>
      </w:pPr>
      <w:r w:rsidRPr="00107E03">
        <w:rPr>
          <w:rFonts w:asciiTheme="majorHAnsi" w:hAnsiTheme="majorHAnsi" w:cs="Arial"/>
        </w:rPr>
        <w:t xml:space="preserve">Allows a charter school to give enrollment preference to and reserve capacity for pupils who: </w:t>
      </w:r>
    </w:p>
    <w:p w:rsidR="00030FBE" w:rsidRPr="00107E03" w:rsidRDefault="00030FBE" w:rsidP="00107E03">
      <w:pPr>
        <w:pStyle w:val="ListParagraph"/>
        <w:numPr>
          <w:ilvl w:val="1"/>
          <w:numId w:val="3"/>
        </w:numPr>
        <w:spacing w:after="0" w:line="240" w:lineRule="auto"/>
        <w:contextualSpacing w:val="0"/>
        <w:jc w:val="both"/>
        <w:rPr>
          <w:rFonts w:asciiTheme="majorHAnsi" w:hAnsiTheme="majorHAnsi" w:cs="Arial"/>
        </w:rPr>
      </w:pPr>
      <w:r w:rsidRPr="00107E03">
        <w:rPr>
          <w:rFonts w:asciiTheme="majorHAnsi" w:hAnsiTheme="majorHAnsi" w:cs="Arial"/>
        </w:rPr>
        <w:t xml:space="preserve">Reside </w:t>
      </w:r>
      <w:r w:rsidRPr="00107E03">
        <w:rPr>
          <w:rFonts w:asciiTheme="majorHAnsi" w:hAnsiTheme="majorHAnsi" w:cs="Arial"/>
          <w:strike/>
          <w:color w:val="FF0000"/>
        </w:rPr>
        <w:t>within one mile of the school and are attempting to transfer out</w:t>
      </w:r>
      <w:r w:rsidRPr="00107E03">
        <w:rPr>
          <w:rFonts w:asciiTheme="majorHAnsi" w:hAnsiTheme="majorHAnsi" w:cs="Arial"/>
          <w:b/>
          <w:color w:val="7030A0"/>
        </w:rPr>
        <w:t xml:space="preserve"> IN THE ATTENDANCE AREA </w:t>
      </w:r>
      <w:r w:rsidRPr="00107E03">
        <w:rPr>
          <w:rFonts w:asciiTheme="majorHAnsi" w:hAnsiTheme="majorHAnsi" w:cs="Arial"/>
        </w:rPr>
        <w:t xml:space="preserve">of a school that is assigned a letter grade classification of </w:t>
      </w:r>
      <w:r w:rsidRPr="00107E03">
        <w:rPr>
          <w:rFonts w:asciiTheme="majorHAnsi" w:hAnsiTheme="majorHAnsi" w:cs="Arial"/>
          <w:i/>
        </w:rPr>
        <w:t>D</w:t>
      </w:r>
      <w:r w:rsidRPr="00107E03">
        <w:rPr>
          <w:rFonts w:asciiTheme="majorHAnsi" w:hAnsiTheme="majorHAnsi" w:cs="Arial"/>
        </w:rPr>
        <w:t xml:space="preserve"> or </w:t>
      </w:r>
      <w:r w:rsidRPr="00107E03">
        <w:rPr>
          <w:rFonts w:asciiTheme="majorHAnsi" w:hAnsiTheme="majorHAnsi" w:cs="Arial"/>
          <w:i/>
        </w:rPr>
        <w:t>F</w:t>
      </w:r>
      <w:r w:rsidRPr="00107E03">
        <w:rPr>
          <w:rFonts w:asciiTheme="majorHAnsi" w:hAnsiTheme="majorHAnsi" w:cs="Arial"/>
        </w:rPr>
        <w:t>.</w:t>
      </w:r>
    </w:p>
    <w:p w:rsidR="00030FBE" w:rsidRPr="00107E03" w:rsidRDefault="00030FBE" w:rsidP="00107E03">
      <w:pPr>
        <w:pStyle w:val="ListParagraph"/>
        <w:numPr>
          <w:ilvl w:val="1"/>
          <w:numId w:val="3"/>
        </w:numPr>
        <w:spacing w:after="0" w:line="240" w:lineRule="auto"/>
        <w:contextualSpacing w:val="0"/>
        <w:jc w:val="both"/>
        <w:rPr>
          <w:rFonts w:asciiTheme="majorHAnsi" w:hAnsiTheme="majorHAnsi" w:cs="Arial"/>
        </w:rPr>
      </w:pPr>
      <w:r w:rsidRPr="00107E03">
        <w:rPr>
          <w:rFonts w:asciiTheme="majorHAnsi" w:hAnsiTheme="majorHAnsi" w:cs="Arial"/>
        </w:rPr>
        <w:t>Were enrolled in a school that is operated by a school district and the sch</w:t>
      </w:r>
      <w:bookmarkStart w:id="8" w:name="_GoBack"/>
      <w:bookmarkEnd w:id="8"/>
      <w:r w:rsidRPr="00107E03">
        <w:rPr>
          <w:rFonts w:asciiTheme="majorHAnsi" w:hAnsiTheme="majorHAnsi" w:cs="Arial"/>
        </w:rPr>
        <w:t>ool has a feeder school relationship ratified by either a memorandum of agreement or the governing bodies or boards of both the schools.</w:t>
      </w:r>
    </w:p>
    <w:p w:rsidR="00030FBE" w:rsidRPr="00107E03" w:rsidRDefault="00030FBE" w:rsidP="00107E03">
      <w:pPr>
        <w:pStyle w:val="ListParagraph"/>
        <w:numPr>
          <w:ilvl w:val="1"/>
          <w:numId w:val="3"/>
        </w:numPr>
        <w:spacing w:after="120" w:line="240" w:lineRule="auto"/>
        <w:contextualSpacing w:val="0"/>
        <w:jc w:val="both"/>
        <w:rPr>
          <w:rFonts w:asciiTheme="majorHAnsi" w:hAnsiTheme="majorHAnsi" w:cs="Arial"/>
        </w:rPr>
      </w:pPr>
      <w:r w:rsidRPr="00107E03">
        <w:rPr>
          <w:rFonts w:asciiTheme="majorHAnsi" w:hAnsiTheme="majorHAnsi" w:cs="Arial"/>
        </w:rPr>
        <w:t xml:space="preserve">Are the dependent children of a student who is enrolled in a public or private postsecondary institution that has a memorandum of agreement with the charter school </w:t>
      </w:r>
      <w:r w:rsidRPr="00107E03">
        <w:rPr>
          <w:rFonts w:asciiTheme="majorHAnsi" w:hAnsiTheme="majorHAnsi" w:cs="Arial"/>
          <w:strike/>
          <w:color w:val="FF0000"/>
        </w:rPr>
        <w:t>which is located on or directly adjacent to the postsecondary institution's property</w:t>
      </w:r>
      <w:r w:rsidRPr="00107E03">
        <w:rPr>
          <w:rFonts w:asciiTheme="majorHAnsi" w:hAnsiTheme="majorHAnsi" w:cs="Arial"/>
        </w:rPr>
        <w:t>.</w:t>
      </w:r>
    </w:p>
    <w:p w:rsidR="00030FBE" w:rsidRPr="00107E03" w:rsidRDefault="00030FBE" w:rsidP="00107E03">
      <w:pPr>
        <w:pStyle w:val="ListParagraph"/>
        <w:numPr>
          <w:ilvl w:val="0"/>
          <w:numId w:val="3"/>
        </w:numPr>
        <w:spacing w:after="0" w:line="240" w:lineRule="auto"/>
        <w:contextualSpacing w:val="0"/>
        <w:jc w:val="both"/>
        <w:rPr>
          <w:rFonts w:asciiTheme="majorHAnsi" w:hAnsiTheme="majorHAnsi" w:cs="Arial"/>
        </w:rPr>
      </w:pPr>
      <w:r w:rsidRPr="00107E03">
        <w:rPr>
          <w:rFonts w:asciiTheme="majorHAnsi" w:hAnsiTheme="majorHAnsi" w:cs="Arial"/>
        </w:rPr>
        <w:t xml:space="preserve">Allows a charter school or network of charter schools to give enrollment preference to dependent children of full or part-time employees of a </w:t>
      </w:r>
      <w:r w:rsidRPr="00107E03">
        <w:rPr>
          <w:rFonts w:asciiTheme="majorHAnsi" w:hAnsiTheme="majorHAnsi" w:cs="Arial"/>
          <w:strike/>
          <w:color w:val="FF0000"/>
        </w:rPr>
        <w:t>corporate</w:t>
      </w:r>
      <w:r w:rsidRPr="00107E03">
        <w:rPr>
          <w:rFonts w:asciiTheme="majorHAnsi" w:hAnsiTheme="majorHAnsi" w:cs="Arial"/>
        </w:rPr>
        <w:t xml:space="preserve"> partner.</w:t>
      </w:r>
    </w:p>
    <w:p w:rsidR="00030FBE" w:rsidRPr="00107E03" w:rsidRDefault="00030FBE" w:rsidP="00107E03">
      <w:pPr>
        <w:pStyle w:val="ListParagraph"/>
        <w:numPr>
          <w:ilvl w:val="1"/>
          <w:numId w:val="3"/>
        </w:numPr>
        <w:spacing w:after="0" w:line="240" w:lineRule="auto"/>
        <w:contextualSpacing w:val="0"/>
        <w:jc w:val="both"/>
        <w:rPr>
          <w:rFonts w:asciiTheme="majorHAnsi" w:hAnsiTheme="majorHAnsi" w:cs="Arial"/>
        </w:rPr>
      </w:pPr>
      <w:r w:rsidRPr="00107E03">
        <w:rPr>
          <w:rFonts w:asciiTheme="majorHAnsi" w:hAnsiTheme="majorHAnsi" w:cs="Arial"/>
        </w:rPr>
        <w:t>Limits the enrollment reserved for these pupils to no more than 50% of the charter school's maximum enrollment.</w:t>
      </w:r>
    </w:p>
    <w:p w:rsidR="00030FBE" w:rsidRPr="00107E03" w:rsidRDefault="00030FBE" w:rsidP="00107E03">
      <w:pPr>
        <w:pStyle w:val="ListParagraph"/>
        <w:numPr>
          <w:ilvl w:val="1"/>
          <w:numId w:val="3"/>
        </w:numPr>
        <w:spacing w:after="0" w:line="240" w:lineRule="auto"/>
        <w:contextualSpacing w:val="0"/>
        <w:jc w:val="both"/>
        <w:rPr>
          <w:rFonts w:asciiTheme="majorHAnsi" w:hAnsiTheme="majorHAnsi" w:cs="Arial"/>
        </w:rPr>
      </w:pPr>
      <w:r w:rsidRPr="00107E03">
        <w:rPr>
          <w:rFonts w:asciiTheme="majorHAnsi" w:hAnsiTheme="majorHAnsi" w:cs="Arial"/>
        </w:rPr>
        <w:t>Prohibits this enrollment preference from being implemented in a manner that displaces children currently enrolled at the charter school.</w:t>
      </w:r>
    </w:p>
    <w:p w:rsidR="00030FBE" w:rsidRPr="00107E03" w:rsidRDefault="00030FBE" w:rsidP="00107E03">
      <w:pPr>
        <w:pStyle w:val="ListParagraph"/>
        <w:numPr>
          <w:ilvl w:val="1"/>
          <w:numId w:val="3"/>
        </w:numPr>
        <w:spacing w:after="0" w:line="240" w:lineRule="auto"/>
        <w:contextualSpacing w:val="0"/>
        <w:jc w:val="both"/>
        <w:rPr>
          <w:rFonts w:asciiTheme="majorHAnsi" w:hAnsiTheme="majorHAnsi" w:cs="Arial"/>
        </w:rPr>
      </w:pPr>
      <w:r w:rsidRPr="00107E03">
        <w:rPr>
          <w:rFonts w:asciiTheme="majorHAnsi" w:hAnsiTheme="majorHAnsi" w:cs="Arial"/>
        </w:rPr>
        <w:t xml:space="preserve">Requires the length of enrollment preference to be determined pursuant to a memorandum of agreement executed by the charter school and the </w:t>
      </w:r>
      <w:r w:rsidRPr="00107E03">
        <w:rPr>
          <w:rFonts w:asciiTheme="majorHAnsi" w:hAnsiTheme="majorHAnsi" w:cs="Arial"/>
          <w:strike/>
          <w:color w:val="FF0000"/>
        </w:rPr>
        <w:t>corporate</w:t>
      </w:r>
      <w:r w:rsidRPr="00107E03">
        <w:rPr>
          <w:rFonts w:asciiTheme="majorHAnsi" w:hAnsiTheme="majorHAnsi" w:cs="Arial"/>
        </w:rPr>
        <w:t xml:space="preserve"> partner.</w:t>
      </w:r>
    </w:p>
    <w:p w:rsidR="00030FBE" w:rsidRPr="00107E03" w:rsidRDefault="00030FBE" w:rsidP="00107E03">
      <w:pPr>
        <w:pStyle w:val="ListParagraph"/>
        <w:numPr>
          <w:ilvl w:val="1"/>
          <w:numId w:val="3"/>
        </w:numPr>
        <w:spacing w:after="120" w:line="240" w:lineRule="auto"/>
        <w:contextualSpacing w:val="0"/>
        <w:jc w:val="both"/>
        <w:rPr>
          <w:rFonts w:asciiTheme="majorHAnsi" w:hAnsiTheme="majorHAnsi" w:cs="Arial"/>
        </w:rPr>
      </w:pPr>
      <w:r w:rsidRPr="00107E03">
        <w:rPr>
          <w:rFonts w:asciiTheme="majorHAnsi" w:hAnsiTheme="majorHAnsi" w:cs="Arial"/>
        </w:rPr>
        <w:t xml:space="preserve">Stipulates, if the </w:t>
      </w:r>
      <w:r w:rsidRPr="00107E03">
        <w:rPr>
          <w:rFonts w:asciiTheme="majorHAnsi" w:hAnsiTheme="majorHAnsi" w:cs="Arial"/>
          <w:strike/>
          <w:color w:val="FF0000"/>
        </w:rPr>
        <w:t>corporate</w:t>
      </w:r>
      <w:r w:rsidRPr="00107E03">
        <w:rPr>
          <w:rFonts w:asciiTheme="majorHAnsi" w:hAnsiTheme="majorHAnsi" w:cs="Arial"/>
        </w:rPr>
        <w:t xml:space="preserve"> partner is leasing the building or space to the charter school, that enrollment preference only be given if the lease provides that the building or space is made available without cost and the term of the lease is not less than the duration of the school's charter.</w:t>
      </w:r>
    </w:p>
    <w:p w:rsidR="00030FBE" w:rsidRPr="00107E03" w:rsidRDefault="00030FBE" w:rsidP="00107E03">
      <w:pPr>
        <w:pStyle w:val="ListParagraph"/>
        <w:numPr>
          <w:ilvl w:val="0"/>
          <w:numId w:val="3"/>
        </w:numPr>
        <w:spacing w:after="120" w:line="240" w:lineRule="auto"/>
        <w:contextualSpacing w:val="0"/>
        <w:jc w:val="both"/>
        <w:rPr>
          <w:rFonts w:asciiTheme="majorHAnsi" w:hAnsiTheme="majorHAnsi" w:cs="Arial"/>
        </w:rPr>
      </w:pPr>
      <w:r w:rsidRPr="00107E03">
        <w:rPr>
          <w:rFonts w:asciiTheme="majorHAnsi" w:hAnsiTheme="majorHAnsi" w:cs="Arial"/>
        </w:rPr>
        <w:t xml:space="preserve">Defines </w:t>
      </w:r>
      <w:r w:rsidRPr="00107E03">
        <w:rPr>
          <w:rFonts w:asciiTheme="majorHAnsi" w:hAnsiTheme="majorHAnsi" w:cs="Arial"/>
          <w:i/>
          <w:strike/>
          <w:color w:val="FF0000"/>
        </w:rPr>
        <w:t>corporate</w:t>
      </w:r>
      <w:r w:rsidRPr="00107E03">
        <w:rPr>
          <w:rFonts w:asciiTheme="majorHAnsi" w:hAnsiTheme="majorHAnsi" w:cs="Arial"/>
          <w:i/>
          <w:color w:val="FF0000"/>
        </w:rPr>
        <w:t xml:space="preserve"> </w:t>
      </w:r>
      <w:r w:rsidRPr="00107E03">
        <w:rPr>
          <w:rFonts w:asciiTheme="majorHAnsi" w:hAnsiTheme="majorHAnsi" w:cs="Arial"/>
          <w:i/>
        </w:rPr>
        <w:t>partner</w:t>
      </w:r>
      <w:r w:rsidRPr="00107E03">
        <w:rPr>
          <w:rFonts w:asciiTheme="majorHAnsi" w:hAnsiTheme="majorHAnsi" w:cs="Arial"/>
        </w:rPr>
        <w:t xml:space="preserve"> and </w:t>
      </w:r>
      <w:r w:rsidRPr="00107E03">
        <w:rPr>
          <w:rFonts w:asciiTheme="majorHAnsi" w:hAnsiTheme="majorHAnsi" w:cs="Arial"/>
          <w:i/>
        </w:rPr>
        <w:t>major renovations to the existing school building</w:t>
      </w:r>
      <w:r w:rsidRPr="00107E03">
        <w:rPr>
          <w:rFonts w:asciiTheme="majorHAnsi" w:hAnsiTheme="majorHAnsi" w:cs="Arial"/>
        </w:rPr>
        <w:t>.</w:t>
      </w:r>
    </w:p>
    <w:p w:rsidR="00030FBE" w:rsidRPr="00107E03" w:rsidRDefault="00030FBE" w:rsidP="00107E03">
      <w:pPr>
        <w:pStyle w:val="ListParagraph"/>
        <w:numPr>
          <w:ilvl w:val="0"/>
          <w:numId w:val="3"/>
        </w:numPr>
        <w:spacing w:after="120" w:line="240" w:lineRule="auto"/>
        <w:contextualSpacing w:val="0"/>
        <w:jc w:val="both"/>
        <w:rPr>
          <w:rFonts w:asciiTheme="majorHAnsi" w:hAnsiTheme="majorHAnsi" w:cs="Arial"/>
        </w:rPr>
      </w:pPr>
      <w:r w:rsidRPr="00107E03">
        <w:rPr>
          <w:rFonts w:asciiTheme="majorHAnsi" w:hAnsiTheme="majorHAnsi" w:cs="Arial"/>
        </w:rPr>
        <w:t>Contains technical and conforming changes.</w:t>
      </w:r>
    </w:p>
    <w:p w:rsidR="00030FBE" w:rsidRPr="00107E03" w:rsidRDefault="00030FBE" w:rsidP="00107E03">
      <w:pPr>
        <w:jc w:val="both"/>
        <w:rPr>
          <w:rFonts w:asciiTheme="majorHAnsi" w:hAnsiTheme="majorHAnsi" w:cs="Arial"/>
          <w:b/>
          <w:sz w:val="22"/>
          <w:szCs w:val="22"/>
          <w:u w:val="single"/>
        </w:rPr>
      </w:pPr>
      <w:r w:rsidRPr="00107E03">
        <w:rPr>
          <w:rFonts w:asciiTheme="majorHAnsi" w:hAnsiTheme="majorHAnsi" w:cs="Arial"/>
          <w:b/>
          <w:sz w:val="22"/>
          <w:szCs w:val="22"/>
          <w:u w:val="single"/>
        </w:rPr>
        <w:t>Current Law</w:t>
      </w:r>
    </w:p>
    <w:p w:rsidR="00030FBE" w:rsidRPr="00107E03" w:rsidRDefault="00030FBE" w:rsidP="00107E03">
      <w:pPr>
        <w:spacing w:after="120"/>
        <w:rPr>
          <w:rFonts w:asciiTheme="majorHAnsi" w:hAnsiTheme="majorHAnsi" w:cs="Arial"/>
          <w:sz w:val="22"/>
          <w:szCs w:val="22"/>
        </w:rPr>
        <w:sectPr w:rsidR="00030FBE" w:rsidRPr="00107E03" w:rsidSect="001C7498">
          <w:type w:val="continuous"/>
          <w:pgSz w:w="12240" w:h="15840"/>
          <w:pgMar w:top="1440" w:right="1440" w:bottom="1440" w:left="1440" w:header="720" w:footer="720" w:gutter="0"/>
          <w:cols w:space="720"/>
          <w:docGrid w:linePitch="360"/>
        </w:sectPr>
      </w:pPr>
      <w:r w:rsidRPr="00107E03">
        <w:rPr>
          <w:rFonts w:asciiTheme="majorHAnsi" w:hAnsiTheme="majorHAnsi" w:cs="Arial"/>
          <w:sz w:val="22"/>
          <w:szCs w:val="22"/>
        </w:rPr>
        <w:t xml:space="preserve">Charter schools are required to enroll all eligible pupils who submit timely applications, unless the number of applications exceeds the allowable capacity.  If the number of applications are more than the available capacity, charter schools must give enrollment preference to pupils returning to the school and to siblings of pupils already enrolled.  Statute allows charter schools to give preference to and reserve capacity for children, grandchildren and legal wards of: a) employees of the school, b) employees of the charter holder, c) members of the school governing body, and d) directors, officers, partners or board members of the charter holder.  Enrollment preference may also be </w:t>
      </w:r>
      <w:r w:rsidRPr="00107E03">
        <w:rPr>
          <w:rFonts w:asciiTheme="majorHAnsi" w:hAnsiTheme="majorHAnsi" w:cs="Arial"/>
          <w:sz w:val="22"/>
          <w:szCs w:val="22"/>
        </w:rPr>
        <w:lastRenderedPageBreak/>
        <w:t>given to pupils or siblings who attended another charter if that s</w:t>
      </w:r>
      <w:r w:rsidR="00107E03">
        <w:rPr>
          <w:rFonts w:asciiTheme="majorHAnsi" w:hAnsiTheme="majorHAnsi" w:cs="Arial"/>
          <w:sz w:val="22"/>
          <w:szCs w:val="22"/>
        </w:rPr>
        <w:t xml:space="preserve">chool has the identical charter </w:t>
      </w:r>
      <w:r w:rsidRPr="00107E03">
        <w:rPr>
          <w:rFonts w:asciiTheme="majorHAnsi" w:hAnsiTheme="majorHAnsi" w:cs="Arial"/>
          <w:sz w:val="22"/>
          <w:szCs w:val="22"/>
        </w:rPr>
        <w:t>holder, board and governing board membership, or is managed by th</w:t>
      </w:r>
      <w:r w:rsidR="00107E03">
        <w:rPr>
          <w:rFonts w:asciiTheme="majorHAnsi" w:hAnsiTheme="majorHAnsi" w:cs="Arial"/>
          <w:sz w:val="22"/>
          <w:szCs w:val="22"/>
        </w:rPr>
        <w:t xml:space="preserve">e same organization or provider </w:t>
      </w:r>
      <w:r w:rsidRPr="00107E03">
        <w:rPr>
          <w:rFonts w:asciiTheme="majorHAnsi" w:hAnsiTheme="majorHAnsi" w:cs="Arial"/>
          <w:sz w:val="22"/>
          <w:szCs w:val="22"/>
        </w:rPr>
        <w:t>(</w:t>
      </w:r>
      <w:hyperlink r:id="rId13" w:history="1">
        <w:r w:rsidRPr="00107E03">
          <w:rPr>
            <w:rStyle w:val="Hyperlink"/>
            <w:rFonts w:asciiTheme="majorHAnsi" w:hAnsiTheme="majorHAnsi" w:cs="Arial"/>
            <w:sz w:val="22"/>
            <w:szCs w:val="22"/>
          </w:rPr>
          <w:t>A.R.S. § 15-184</w:t>
        </w:r>
      </w:hyperlink>
      <w:r w:rsidRPr="00107E03">
        <w:rPr>
          <w:rFonts w:asciiTheme="majorHAnsi" w:hAnsiTheme="majorHAnsi" w:cs="Arial"/>
          <w:sz w:val="22"/>
          <w:szCs w:val="22"/>
        </w:rPr>
        <w:t>).</w:t>
      </w:r>
    </w:p>
    <w:p w:rsidR="00030FBE" w:rsidRDefault="00030FBE" w:rsidP="00030FBE">
      <w:pPr>
        <w:pStyle w:val="Heading1"/>
        <w:jc w:val="center"/>
      </w:pPr>
      <w:r>
        <w:rPr>
          <w:noProof/>
        </w:rPr>
        <w:lastRenderedPageBreak/>
        <w:drawing>
          <wp:anchor distT="0" distB="0" distL="114300" distR="114300" simplePos="0" relativeHeight="251662848" behindDoc="1" locked="0" layoutInCell="1" allowOverlap="1" wp14:anchorId="2D5E4232" wp14:editId="141E3156">
            <wp:simplePos x="0" y="0"/>
            <wp:positionH relativeFrom="column">
              <wp:posOffset>2362835</wp:posOffset>
            </wp:positionH>
            <wp:positionV relativeFrom="paragraph">
              <wp:posOffset>-322580</wp:posOffset>
            </wp:positionV>
            <wp:extent cx="1214755" cy="1165860"/>
            <wp:effectExtent l="0" t="0" r="0" b="0"/>
            <wp:wrapNone/>
            <wp:docPr id="15" name="Picture 15"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8"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8">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030FBE" w:rsidRDefault="00030FBE" w:rsidP="00030FBE">
      <w:pPr>
        <w:jc w:val="center"/>
        <w:sectPr w:rsidR="00030FBE" w:rsidSect="001C7498">
          <w:footerReference w:type="default" r:id="rId14"/>
          <w:pgSz w:w="12240" w:h="15840"/>
          <w:pgMar w:top="1080" w:right="1440" w:bottom="1440" w:left="1440" w:header="720" w:footer="720" w:gutter="0"/>
          <w:cols w:space="720"/>
          <w:docGrid w:linePitch="360"/>
        </w:sectPr>
      </w:pPr>
      <w:bookmarkStart w:id="9" w:name="sb1398"/>
      <w:bookmarkEnd w:id="9"/>
    </w:p>
    <w:p w:rsidR="00030FBE" w:rsidRDefault="00030FBE" w:rsidP="00030FBE">
      <w:pPr>
        <w:rPr>
          <w:b/>
        </w:rPr>
      </w:pPr>
    </w:p>
    <w:tbl>
      <w:tblPr>
        <w:tblStyle w:val="TableGrid"/>
        <w:tblpPr w:leftFromText="180" w:rightFromText="180" w:vertAnchor="page" w:horzAnchor="margin" w:tblpY="2341"/>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9"/>
        <w:gridCol w:w="4755"/>
      </w:tblGrid>
      <w:tr w:rsidR="00030FBE" w:rsidTr="00107E03">
        <w:trPr>
          <w:trHeight w:val="464"/>
        </w:trPr>
        <w:tc>
          <w:tcPr>
            <w:tcW w:w="9864" w:type="dxa"/>
            <w:gridSpan w:val="2"/>
          </w:tcPr>
          <w:p w:rsidR="00030FBE" w:rsidRPr="002B09D5" w:rsidRDefault="00030FBE" w:rsidP="00107E03">
            <w:pPr>
              <w:spacing w:after="120"/>
              <w:rPr>
                <w:rFonts w:ascii="Cambria" w:hAnsi="Cambria" w:cs="Arial"/>
                <w:noProof/>
                <w:sz w:val="28"/>
                <w:szCs w:val="28"/>
                <w:u w:val="single"/>
              </w:rPr>
            </w:pPr>
            <w:r>
              <w:rPr>
                <w:rFonts w:ascii="Cambria" w:hAnsi="Cambria" w:cs="Arial"/>
                <w:b/>
                <w:noProof/>
                <w:sz w:val="28"/>
                <w:szCs w:val="28"/>
                <w:u w:val="single"/>
              </w:rPr>
              <w:t>SB 1398:</w:t>
            </w:r>
            <w:r w:rsidRPr="00803606">
              <w:rPr>
                <w:rFonts w:ascii="Cambria" w:hAnsi="Cambria" w:cs="Arial"/>
                <w:noProof/>
                <w:sz w:val="28"/>
                <w:szCs w:val="28"/>
                <w:u w:val="single"/>
              </w:rPr>
              <w:t xml:space="preserve"> </w:t>
            </w:r>
            <w:r>
              <w:rPr>
                <w:rFonts w:ascii="Cambria" w:hAnsi="Cambria" w:cs="Arial"/>
                <w:noProof/>
                <w:sz w:val="28"/>
                <w:szCs w:val="28"/>
                <w:u w:val="single"/>
              </w:rPr>
              <w:t>unemployment; return-to-work program; suitable work</w:t>
            </w:r>
          </w:p>
        </w:tc>
      </w:tr>
      <w:tr w:rsidR="00030FBE" w:rsidTr="00107E03">
        <w:trPr>
          <w:trHeight w:val="1440"/>
        </w:trPr>
        <w:tc>
          <w:tcPr>
            <w:tcW w:w="5109" w:type="dxa"/>
          </w:tcPr>
          <w:p w:rsidR="00030FBE" w:rsidRPr="001C7498" w:rsidRDefault="00030FBE" w:rsidP="00107E03">
            <w:pPr>
              <w:spacing w:after="120"/>
              <w:rPr>
                <w:rFonts w:ascii="Cambria" w:hAnsi="Cambria" w:cs="Arial"/>
                <w:sz w:val="22"/>
              </w:rPr>
            </w:pPr>
            <w:r w:rsidRPr="001C7498">
              <w:rPr>
                <w:rFonts w:ascii="Cambria" w:hAnsi="Cambria" w:cs="Arial"/>
                <w:b/>
                <w:sz w:val="22"/>
              </w:rPr>
              <w:t>PRIME SPONSOR:</w:t>
            </w:r>
            <w:r w:rsidRPr="001C7498">
              <w:rPr>
                <w:rFonts w:ascii="Cambria" w:hAnsi="Cambria" w:cs="Arial"/>
                <w:sz w:val="22"/>
              </w:rPr>
              <w:t xml:space="preserve"> Senator Smith, LD 11</w:t>
            </w:r>
          </w:p>
          <w:p w:rsidR="00030FBE" w:rsidRPr="001C7498" w:rsidRDefault="00030FBE" w:rsidP="00107E03">
            <w:pPr>
              <w:rPr>
                <w:rFonts w:ascii="Cambria" w:hAnsi="Cambria" w:cs="Arial"/>
                <w:sz w:val="22"/>
              </w:rPr>
            </w:pPr>
            <w:r w:rsidRPr="001C7498">
              <w:rPr>
                <w:rFonts w:ascii="Cambria" w:hAnsi="Cambria" w:cs="Arial"/>
                <w:b/>
                <w:sz w:val="22"/>
              </w:rPr>
              <w:t>BILL STATUS:</w:t>
            </w:r>
            <w:r w:rsidRPr="001C7498">
              <w:rPr>
                <w:rFonts w:ascii="Cambria" w:hAnsi="Cambria" w:cs="Arial"/>
                <w:sz w:val="22"/>
              </w:rPr>
              <w:t xml:space="preserve"> </w:t>
            </w:r>
            <w:hyperlink r:id="rId15" w:tooltip="Bill Status Inquiry" w:history="1">
              <w:r w:rsidRPr="001C7498">
                <w:rPr>
                  <w:rStyle w:val="Hyperlink"/>
                  <w:rFonts w:ascii="Cambria" w:hAnsi="Cambria"/>
                  <w:sz w:val="22"/>
                </w:rPr>
                <w:t>Caucus &amp; COW</w:t>
              </w:r>
            </w:hyperlink>
          </w:p>
          <w:tbl>
            <w:tblPr>
              <w:tblStyle w:val="TableGrid"/>
              <w:tblW w:w="0" w:type="auto"/>
              <w:tblLook w:val="04A0" w:firstRow="1" w:lastRow="0" w:firstColumn="1" w:lastColumn="0" w:noHBand="0" w:noVBand="1"/>
            </w:tblPr>
            <w:tblGrid>
              <w:gridCol w:w="5099"/>
            </w:tblGrid>
            <w:tr w:rsidR="00030FBE" w:rsidRPr="001C7498" w:rsidTr="00385E68">
              <w:trPr>
                <w:trHeight w:val="309"/>
              </w:trPr>
              <w:tc>
                <w:tcPr>
                  <w:tcW w:w="5099" w:type="dxa"/>
                  <w:tcBorders>
                    <w:top w:val="nil"/>
                    <w:left w:val="nil"/>
                    <w:bottom w:val="nil"/>
                    <w:right w:val="nil"/>
                  </w:tcBorders>
                  <w:tcMar>
                    <w:left w:w="0" w:type="dxa"/>
                    <w:right w:w="0" w:type="dxa"/>
                  </w:tcMar>
                </w:tcPr>
                <w:p w:rsidR="00030FBE" w:rsidRPr="001C7498" w:rsidRDefault="00030FBE" w:rsidP="00107E03">
                  <w:pPr>
                    <w:framePr w:hSpace="180" w:wrap="around" w:vAnchor="page" w:hAnchor="margin" w:y="2341"/>
                    <w:rPr>
                      <w:rFonts w:ascii="Cambria" w:hAnsi="Cambria" w:cs="Arial"/>
                      <w:sz w:val="22"/>
                    </w:rPr>
                  </w:pPr>
                  <w:r w:rsidRPr="001C7498">
                    <w:rPr>
                      <w:rFonts w:ascii="Cambria" w:hAnsi="Cambria" w:cs="Arial"/>
                      <w:sz w:val="22"/>
                    </w:rPr>
                    <w:tab/>
                    <w:t>COM: DPA 6-3-0-0</w:t>
                  </w:r>
                </w:p>
              </w:tc>
            </w:tr>
          </w:tbl>
          <w:p w:rsidR="00030FBE" w:rsidRPr="00C6092E" w:rsidRDefault="00030FBE" w:rsidP="00107E03">
            <w:pPr>
              <w:rPr>
                <w:rFonts w:ascii="Cambria" w:hAnsi="Cambria" w:cs="Arial"/>
              </w:rPr>
            </w:pPr>
          </w:p>
        </w:tc>
        <w:tc>
          <w:tcPr>
            <w:tcW w:w="4755" w:type="dxa"/>
          </w:tcPr>
          <w:p w:rsidR="00030FBE" w:rsidRDefault="00030FBE" w:rsidP="00107E03">
            <w:pPr>
              <w:rPr>
                <w:rFonts w:ascii="Cambria" w:hAnsi="Cambria" w:cs="Arial"/>
              </w:rPr>
            </w:pPr>
            <w:r w:rsidRPr="001C5438">
              <w:rPr>
                <w:rFonts w:ascii="Cambria" w:hAnsi="Cambria" w:cs="Arial"/>
                <w:noProof/>
              </w:rPr>
              <mc:AlternateContent>
                <mc:Choice Requires="wps">
                  <w:drawing>
                    <wp:anchor distT="0" distB="0" distL="114300" distR="114300" simplePos="0" relativeHeight="251665920" behindDoc="1" locked="1" layoutInCell="1" allowOverlap="0" wp14:anchorId="65577A6B" wp14:editId="68005454">
                      <wp:simplePos x="0" y="0"/>
                      <wp:positionH relativeFrom="margin">
                        <wp:posOffset>3175</wp:posOffset>
                      </wp:positionH>
                      <wp:positionV relativeFrom="page">
                        <wp:posOffset>69850</wp:posOffset>
                      </wp:positionV>
                      <wp:extent cx="2669540" cy="819150"/>
                      <wp:effectExtent l="0" t="0" r="16510" b="19050"/>
                      <wp:wrapTight wrapText="bothSides">
                        <wp:wrapPolygon edited="0">
                          <wp:start x="0" y="0"/>
                          <wp:lineTo x="0" y="21600"/>
                          <wp:lineTo x="21579" y="21600"/>
                          <wp:lineTo x="21579" y="0"/>
                          <wp:lineTo x="0" y="0"/>
                        </wp:wrapPolygon>
                      </wp:wrapTight>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819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30FBE" w:rsidRPr="00F34CC1" w:rsidRDefault="00030FBE" w:rsidP="00030FBE">
                                  <w:pPr>
                                    <w:rPr>
                                      <w:b/>
                                      <w:u w:val="single"/>
                                    </w:rPr>
                                  </w:pPr>
                                  <w:r w:rsidRPr="00BB4358">
                                    <w:rPr>
                                      <w:b/>
                                      <w:u w:val="single"/>
                                    </w:rPr>
                                    <w:t>Legend:</w:t>
                                  </w:r>
                                </w:p>
                                <w:p w:rsidR="00030FBE" w:rsidRDefault="00030FBE" w:rsidP="00030FBE">
                                  <w:r>
                                    <w:t>DES – Department of Economic Security</w:t>
                                  </w:r>
                                </w:p>
                                <w:p w:rsidR="00030FBE" w:rsidRDefault="00030FBE" w:rsidP="00030FBE">
                                  <w:r>
                                    <w:t>UI – Unemployment Insurance</w:t>
                                  </w:r>
                                </w:p>
                                <w:p w:rsidR="00030FBE" w:rsidRPr="00BB4358" w:rsidRDefault="00030FBE" w:rsidP="00030FBE">
                                  <w:r w:rsidRPr="00BB4358">
                                    <w:t xml:space="preserve">Amendments </w:t>
                                  </w:r>
                                  <w:r>
                                    <w:t xml:space="preserve">– </w:t>
                                  </w:r>
                                  <w:r w:rsidRPr="004357B7">
                                    <w:rPr>
                                      <w:b/>
                                      <w:color w:val="7030A0"/>
                                    </w:rPr>
                                    <w:t>BOLD</w:t>
                                  </w:r>
                                  <w:r w:rsidRPr="00BB4358">
                                    <w:rPr>
                                      <w:b/>
                                    </w:rPr>
                                    <w:t xml:space="preserve"> </w:t>
                                  </w:r>
                                  <w:r w:rsidRPr="00BB4358">
                                    <w:t xml:space="preserve">and </w:t>
                                  </w:r>
                                  <w:r w:rsidRPr="00C647C5">
                                    <w:rPr>
                                      <w:strike/>
                                      <w:color w:val="FF0000"/>
                                    </w:rPr>
                                    <w:t>Stricken</w:t>
                                  </w:r>
                                  <w:r w:rsidRPr="00BB4358">
                                    <w:t xml:space="preserve"> </w:t>
                                  </w:r>
                                  <w:r>
                                    <w:t>(</w:t>
                                  </w:r>
                                  <w:r>
                                    <w:rPr>
                                      <w:i/>
                                    </w:rPr>
                                    <w:t>Committee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77A6B" id="_x0000_s1030" type="#_x0000_t202" style="position:absolute;margin-left:.25pt;margin-top:5.5pt;width:210.2pt;height:64.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" o:allowoverlap="f" filled="f">
                      <v:textbox>
                        <w:txbxContent>
                          <w:p w:rsidR="00030FBE" w:rsidRPr="00F34CC1" w:rsidRDefault="00030FBE" w:rsidP="00030FBE">
                            <w:pPr>
                              <w:rPr>
                                <w:b/>
                                <w:u w:val="single"/>
                              </w:rPr>
                            </w:pPr>
                            <w:r w:rsidRPr="00BB4358">
                              <w:rPr>
                                <w:b/>
                                <w:u w:val="single"/>
                              </w:rPr>
                              <w:t>Legend:</w:t>
                            </w:r>
                          </w:p>
                          <w:p w:rsidR="00030FBE" w:rsidRDefault="00030FBE" w:rsidP="00030FBE">
                            <w:r>
                              <w:t>DES – Department of Economic Security</w:t>
                            </w:r>
                          </w:p>
                          <w:p w:rsidR="00030FBE" w:rsidRDefault="00030FBE" w:rsidP="00030FBE">
                            <w:r>
                              <w:t>UI – Unemployment Insurance</w:t>
                            </w:r>
                          </w:p>
                          <w:p w:rsidR="00030FBE" w:rsidRPr="00BB4358" w:rsidRDefault="00030FBE" w:rsidP="00030FBE">
                            <w:r w:rsidRPr="00BB4358">
                              <w:t xml:space="preserve">Amendments </w:t>
                            </w:r>
                            <w:r>
                              <w:t xml:space="preserve">– </w:t>
                            </w:r>
                            <w:r w:rsidRPr="004357B7">
                              <w:rPr>
                                <w:b/>
                                <w:color w:val="7030A0"/>
                              </w:rPr>
                              <w:t>BOLD</w:t>
                            </w:r>
                            <w:r w:rsidRPr="00BB4358">
                              <w:rPr>
                                <w:b/>
                              </w:rPr>
                              <w:t xml:space="preserve"> </w:t>
                            </w:r>
                            <w:r w:rsidRPr="00BB4358">
                              <w:t xml:space="preserve">and </w:t>
                            </w:r>
                            <w:r w:rsidRPr="00C647C5">
                              <w:rPr>
                                <w:strike/>
                                <w:color w:val="FF0000"/>
                              </w:rPr>
                              <w:t>Stricken</w:t>
                            </w:r>
                            <w:r w:rsidRPr="00BB4358">
                              <w:t xml:space="preserve"> </w:t>
                            </w:r>
                            <w:r>
                              <w:t>(</w:t>
                            </w:r>
                            <w:r>
                              <w:rPr>
                                <w:i/>
                              </w:rPr>
                              <w:t>Committee</w:t>
                            </w:r>
                            <w:r>
                              <w:t>)</w:t>
                            </w:r>
                          </w:p>
                        </w:txbxContent>
                      </v:textbox>
                      <w10:wrap type="tight" anchorx="margin" anchory="page"/>
                      <w10:anchorlock/>
                    </v:shape>
                  </w:pict>
                </mc:Fallback>
              </mc:AlternateContent>
            </w:r>
          </w:p>
        </w:tc>
      </w:tr>
    </w:tbl>
    <w:p w:rsidR="00030FBE" w:rsidRPr="00107E03" w:rsidRDefault="00030FBE" w:rsidP="00030FBE">
      <w:pPr>
        <w:spacing w:before="200"/>
        <w:jc w:val="both"/>
        <w:rPr>
          <w:rFonts w:asciiTheme="majorHAnsi" w:hAnsiTheme="majorHAnsi" w:cs="Arial"/>
          <w:b/>
          <w:sz w:val="22"/>
          <w:szCs w:val="22"/>
          <w:u w:val="single"/>
        </w:rPr>
      </w:pPr>
      <w:r w:rsidRPr="00107E03">
        <w:rPr>
          <w:rFonts w:asciiTheme="majorHAnsi" w:hAnsiTheme="majorHAnsi" w:cs="Arial"/>
          <w:b/>
          <w:sz w:val="22"/>
          <w:szCs w:val="22"/>
          <w:u w:val="single"/>
        </w:rPr>
        <w:t>Abstract</w:t>
      </w:r>
    </w:p>
    <w:p w:rsidR="00030FBE" w:rsidRPr="00107E03" w:rsidRDefault="00030FBE" w:rsidP="00030FBE">
      <w:pPr>
        <w:spacing w:after="120"/>
        <w:jc w:val="both"/>
        <w:rPr>
          <w:rFonts w:asciiTheme="majorHAnsi" w:hAnsiTheme="majorHAnsi" w:cs="Arial"/>
          <w:sz w:val="22"/>
          <w:szCs w:val="22"/>
        </w:rPr>
      </w:pPr>
      <w:r w:rsidRPr="00107E03">
        <w:rPr>
          <w:rFonts w:asciiTheme="majorHAnsi" w:hAnsiTheme="majorHAnsi" w:cs="Arial"/>
          <w:noProof/>
          <w:sz w:val="22"/>
          <w:szCs w:val="22"/>
        </w:rPr>
        <mc:AlternateContent>
          <mc:Choice Requires="wps">
            <w:drawing>
              <wp:anchor distT="0" distB="0" distL="114300" distR="114300" simplePos="0" relativeHeight="251668992" behindDoc="1" locked="1" layoutInCell="1" allowOverlap="0" wp14:anchorId="6FB00536" wp14:editId="4EC4DBA2">
                <wp:simplePos x="0" y="0"/>
                <wp:positionH relativeFrom="margin">
                  <wp:posOffset>0</wp:posOffset>
                </wp:positionH>
                <wp:positionV relativeFrom="margin">
                  <wp:posOffset>7981950</wp:posOffset>
                </wp:positionV>
                <wp:extent cx="5943600" cy="274320"/>
                <wp:effectExtent l="0" t="0" r="19050" b="11430"/>
                <wp:wrapTight wrapText="bothSides">
                  <wp:wrapPolygon edited="0">
                    <wp:start x="0" y="0"/>
                    <wp:lineTo x="0" y="21000"/>
                    <wp:lineTo x="21600" y="21000"/>
                    <wp:lineTo x="21600" y="0"/>
                    <wp:lineTo x="0" y="0"/>
                  </wp:wrapPolygon>
                </wp:wrapTight>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rsidR="00030FBE" w:rsidRDefault="00030FBE" w:rsidP="00030FBE">
                            <w:pPr>
                              <w:jc w:val="center"/>
                            </w:pPr>
                            <w:sdt>
                              <w:sdtPr>
                                <w:tag w:val="Prop105"/>
                                <w:id w:val="-3160394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9705856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834329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297759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00536" id="_x0000_s1031" type="#_x0000_t202" style="position:absolute;left:0;text-align:left;margin-left:0;margin-top:628.5pt;width:468pt;height:21.6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" o:allowoverlap="f">
                <v:textbox>
                  <w:txbxContent>
                    <w:p w:rsidR="00030FBE" w:rsidRDefault="00030FBE" w:rsidP="00030FBE">
                      <w:pPr>
                        <w:jc w:val="center"/>
                      </w:pPr>
                      <w:sdt>
                        <w:sdtPr>
                          <w:tag w:val="Prop105"/>
                          <w:id w:val="-3160394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9705856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834329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297759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margin" anchory="margin"/>
                <w10:anchorlock/>
              </v:shape>
            </w:pict>
          </mc:Fallback>
        </mc:AlternateContent>
      </w:r>
      <w:r w:rsidRPr="00107E03">
        <w:rPr>
          <w:rFonts w:asciiTheme="majorHAnsi" w:hAnsiTheme="majorHAnsi" w:cs="Arial"/>
          <w:sz w:val="22"/>
          <w:szCs w:val="22"/>
        </w:rPr>
        <w:t>Relating to suitable jobs and training for unemployed workers receiving UI benefits.</w:t>
      </w:r>
    </w:p>
    <w:p w:rsidR="00030FBE" w:rsidRPr="00107E03" w:rsidRDefault="00030FBE" w:rsidP="00030FBE">
      <w:pPr>
        <w:jc w:val="both"/>
        <w:rPr>
          <w:rFonts w:asciiTheme="majorHAnsi" w:hAnsiTheme="majorHAnsi" w:cs="Arial"/>
          <w:b/>
          <w:sz w:val="22"/>
          <w:szCs w:val="22"/>
          <w:u w:val="single"/>
        </w:rPr>
      </w:pPr>
      <w:r w:rsidRPr="00107E03">
        <w:rPr>
          <w:rFonts w:asciiTheme="majorHAnsi" w:hAnsiTheme="majorHAnsi" w:cs="Arial"/>
          <w:b/>
          <w:sz w:val="22"/>
          <w:szCs w:val="22"/>
          <w:u w:val="single"/>
        </w:rPr>
        <w:t>Provisions</w:t>
      </w:r>
    </w:p>
    <w:p w:rsidR="00030FBE" w:rsidRPr="00107E03" w:rsidRDefault="00030FBE" w:rsidP="00030FBE">
      <w:pPr>
        <w:pStyle w:val="ListParagraph"/>
        <w:numPr>
          <w:ilvl w:val="0"/>
          <w:numId w:val="2"/>
        </w:numPr>
        <w:spacing w:after="120" w:line="240" w:lineRule="auto"/>
        <w:contextualSpacing w:val="0"/>
        <w:jc w:val="both"/>
        <w:rPr>
          <w:rFonts w:asciiTheme="majorHAnsi" w:hAnsiTheme="majorHAnsi" w:cs="Arial"/>
        </w:rPr>
      </w:pPr>
      <w:bookmarkStart w:id="10" w:name="_Hlk508261437"/>
      <w:r w:rsidRPr="00107E03">
        <w:rPr>
          <w:rFonts w:asciiTheme="majorHAnsi" w:hAnsiTheme="majorHAnsi" w:cs="Arial"/>
        </w:rPr>
        <w:t xml:space="preserve">Asserts that after the first four weeks a person receives UI benefits, DES considers employment offers of 120% of weekly benefits as </w:t>
      </w:r>
      <w:r w:rsidRPr="00107E03">
        <w:rPr>
          <w:rFonts w:asciiTheme="majorHAnsi" w:hAnsiTheme="majorHAnsi" w:cs="Arial"/>
          <w:i/>
        </w:rPr>
        <w:t>suitable work</w:t>
      </w:r>
      <w:r w:rsidRPr="00107E03">
        <w:rPr>
          <w:rFonts w:asciiTheme="majorHAnsi" w:hAnsiTheme="majorHAnsi" w:cs="Arial"/>
        </w:rPr>
        <w:t xml:space="preserve"> for a person to return to work.  (Sec. 2)</w:t>
      </w:r>
    </w:p>
    <w:p w:rsidR="00030FBE" w:rsidRPr="00107E03" w:rsidRDefault="00030FBE" w:rsidP="00030FBE">
      <w:pPr>
        <w:pStyle w:val="ListParagraph"/>
        <w:numPr>
          <w:ilvl w:val="0"/>
          <w:numId w:val="2"/>
        </w:numPr>
        <w:spacing w:after="120" w:line="240" w:lineRule="auto"/>
        <w:contextualSpacing w:val="0"/>
        <w:jc w:val="both"/>
        <w:rPr>
          <w:rFonts w:asciiTheme="majorHAnsi" w:hAnsiTheme="majorHAnsi" w:cs="Arial"/>
        </w:rPr>
      </w:pPr>
      <w:r w:rsidRPr="00107E03">
        <w:rPr>
          <w:rFonts w:asciiTheme="majorHAnsi" w:hAnsiTheme="majorHAnsi" w:cs="Arial"/>
        </w:rPr>
        <w:t xml:space="preserve">Instructs DES to establish a </w:t>
      </w:r>
      <w:r w:rsidRPr="00107E03">
        <w:rPr>
          <w:rFonts w:asciiTheme="majorHAnsi" w:hAnsiTheme="majorHAnsi" w:cs="Arial"/>
          <w:i/>
          <w:strike/>
          <w:color w:val="FF0000"/>
        </w:rPr>
        <w:t>Return-to-Work Program</w:t>
      </w:r>
      <w:r w:rsidRPr="00107E03">
        <w:rPr>
          <w:rFonts w:asciiTheme="majorHAnsi" w:hAnsiTheme="majorHAnsi" w:cs="Arial"/>
        </w:rPr>
        <w:t xml:space="preserve"> </w:t>
      </w:r>
      <w:r w:rsidRPr="00107E03">
        <w:rPr>
          <w:rFonts w:asciiTheme="majorHAnsi" w:hAnsiTheme="majorHAnsi" w:cs="Arial"/>
          <w:b/>
          <w:color w:val="7030A0"/>
        </w:rPr>
        <w:t>TRAINING PROGRAM, WHICH MAY BE A STATE OR FEDERALLY APPROVED APPRENTICESHIP PROGRAM</w:t>
      </w:r>
      <w:r w:rsidRPr="00107E03">
        <w:rPr>
          <w:rFonts w:asciiTheme="majorHAnsi" w:hAnsiTheme="majorHAnsi" w:cs="Arial"/>
        </w:rPr>
        <w:t xml:space="preserve"> consisting of supervised and training for unemployed individuals who receive or are eligible for UI benefits.  (Sec. 1)</w:t>
      </w:r>
    </w:p>
    <w:p w:rsidR="00030FBE" w:rsidRPr="00107E03" w:rsidRDefault="00030FBE" w:rsidP="00030FBE">
      <w:pPr>
        <w:pStyle w:val="ListParagraph"/>
        <w:numPr>
          <w:ilvl w:val="0"/>
          <w:numId w:val="2"/>
        </w:numPr>
        <w:spacing w:after="120" w:line="240" w:lineRule="auto"/>
        <w:contextualSpacing w:val="0"/>
        <w:jc w:val="both"/>
        <w:rPr>
          <w:rFonts w:asciiTheme="majorHAnsi" w:hAnsiTheme="majorHAnsi" w:cs="Arial"/>
        </w:rPr>
      </w:pPr>
      <w:r w:rsidRPr="00107E03">
        <w:rPr>
          <w:rFonts w:asciiTheme="majorHAnsi" w:hAnsiTheme="majorHAnsi" w:cs="Arial"/>
          <w:b/>
          <w:color w:val="7030A0"/>
        </w:rPr>
        <w:t>AUTHORIZES THE TRAINING PROGRAM TO OFFER PAID OR UNPAID TRAINING OPPORTUNITIES TO PARTICIPANTS.</w:t>
      </w:r>
    </w:p>
    <w:p w:rsidR="00030FBE" w:rsidRPr="00107E03" w:rsidRDefault="00030FBE" w:rsidP="00030FBE">
      <w:pPr>
        <w:pStyle w:val="ListParagraph"/>
        <w:numPr>
          <w:ilvl w:val="0"/>
          <w:numId w:val="2"/>
        </w:numPr>
        <w:spacing w:after="120" w:line="240" w:lineRule="auto"/>
        <w:contextualSpacing w:val="0"/>
        <w:jc w:val="both"/>
        <w:rPr>
          <w:rFonts w:asciiTheme="majorHAnsi" w:hAnsiTheme="majorHAnsi" w:cs="Arial"/>
          <w:strike/>
          <w:color w:val="FF0000"/>
        </w:rPr>
      </w:pPr>
      <w:r w:rsidRPr="00107E03">
        <w:rPr>
          <w:rFonts w:asciiTheme="majorHAnsi" w:hAnsiTheme="majorHAnsi" w:cs="Arial"/>
          <w:strike/>
          <w:color w:val="FF0000"/>
        </w:rPr>
        <w:t>Conditions the Program on legislative appropriation.</w:t>
      </w:r>
      <w:bookmarkEnd w:id="10"/>
      <w:r w:rsidRPr="00107E03">
        <w:rPr>
          <w:rFonts w:asciiTheme="majorHAnsi" w:hAnsiTheme="majorHAnsi" w:cs="Arial"/>
          <w:strike/>
          <w:color w:val="FF0000"/>
        </w:rPr>
        <w:t xml:space="preserve"> </w:t>
      </w:r>
      <w:r w:rsidRPr="00107E03">
        <w:rPr>
          <w:rFonts w:asciiTheme="majorHAnsi" w:hAnsiTheme="majorHAnsi" w:cs="Arial"/>
        </w:rPr>
        <w:t xml:space="preserve"> </w:t>
      </w:r>
      <w:r w:rsidRPr="00107E03">
        <w:rPr>
          <w:rFonts w:asciiTheme="majorHAnsi" w:hAnsiTheme="majorHAnsi" w:cs="Arial"/>
          <w:strike/>
          <w:color w:val="FF0000"/>
        </w:rPr>
        <w:t>(Sec. 1)</w:t>
      </w:r>
    </w:p>
    <w:p w:rsidR="00030FBE" w:rsidRPr="00107E03" w:rsidRDefault="00030FBE" w:rsidP="00030FBE">
      <w:pPr>
        <w:pStyle w:val="ListParagraph"/>
        <w:numPr>
          <w:ilvl w:val="0"/>
          <w:numId w:val="2"/>
        </w:numPr>
        <w:spacing w:after="120" w:line="240" w:lineRule="auto"/>
        <w:contextualSpacing w:val="0"/>
        <w:jc w:val="both"/>
        <w:rPr>
          <w:rFonts w:asciiTheme="majorHAnsi" w:hAnsiTheme="majorHAnsi" w:cs="Arial"/>
          <w:strike/>
          <w:color w:val="FF0000"/>
        </w:rPr>
      </w:pPr>
      <w:r w:rsidRPr="00107E03">
        <w:rPr>
          <w:rFonts w:asciiTheme="majorHAnsi" w:hAnsiTheme="majorHAnsi" w:cs="Arial"/>
          <w:strike/>
          <w:color w:val="FF0000"/>
        </w:rPr>
        <w:t>Instructs DES to provide workers' compensation coverage for participants as noted.  (Sec. 1)</w:t>
      </w:r>
    </w:p>
    <w:p w:rsidR="00030FBE" w:rsidRPr="00107E03" w:rsidRDefault="00030FBE" w:rsidP="00030FBE">
      <w:pPr>
        <w:pStyle w:val="ListParagraph"/>
        <w:numPr>
          <w:ilvl w:val="0"/>
          <w:numId w:val="2"/>
        </w:numPr>
        <w:spacing w:after="120" w:line="240" w:lineRule="auto"/>
        <w:contextualSpacing w:val="0"/>
        <w:jc w:val="both"/>
        <w:rPr>
          <w:rFonts w:asciiTheme="majorHAnsi" w:hAnsiTheme="majorHAnsi" w:cs="Arial"/>
          <w:strike/>
          <w:color w:val="FF0000"/>
        </w:rPr>
      </w:pPr>
      <w:r w:rsidRPr="00107E03">
        <w:rPr>
          <w:rFonts w:asciiTheme="majorHAnsi" w:hAnsiTheme="majorHAnsi" w:cs="Arial"/>
          <w:strike/>
          <w:color w:val="FF0000"/>
        </w:rPr>
        <w:t>Permits individuals and employers who take part in pre-apprenticeship programs approved by DES to participate. (Sec. 1)</w:t>
      </w:r>
    </w:p>
    <w:p w:rsidR="00030FBE" w:rsidRPr="00107E03" w:rsidRDefault="00030FBE" w:rsidP="00030FBE">
      <w:pPr>
        <w:pStyle w:val="ListParagraph"/>
        <w:numPr>
          <w:ilvl w:val="0"/>
          <w:numId w:val="2"/>
        </w:numPr>
        <w:spacing w:after="0" w:line="240" w:lineRule="auto"/>
        <w:contextualSpacing w:val="0"/>
        <w:jc w:val="both"/>
        <w:rPr>
          <w:rFonts w:asciiTheme="majorHAnsi" w:hAnsiTheme="majorHAnsi" w:cs="Arial"/>
        </w:rPr>
      </w:pPr>
      <w:r w:rsidRPr="00107E03">
        <w:rPr>
          <w:rFonts w:asciiTheme="majorHAnsi" w:hAnsiTheme="majorHAnsi" w:cs="Arial"/>
        </w:rPr>
        <w:t>Prescribes requirements for individuals as follows:</w:t>
      </w:r>
    </w:p>
    <w:p w:rsidR="00030FBE" w:rsidRPr="00107E03" w:rsidRDefault="00030FBE" w:rsidP="00030FBE">
      <w:pPr>
        <w:pStyle w:val="ListParagraph"/>
        <w:numPr>
          <w:ilvl w:val="1"/>
          <w:numId w:val="2"/>
        </w:numPr>
        <w:spacing w:after="0" w:line="240" w:lineRule="auto"/>
        <w:contextualSpacing w:val="0"/>
        <w:jc w:val="both"/>
        <w:rPr>
          <w:rFonts w:asciiTheme="majorHAnsi" w:hAnsiTheme="majorHAnsi" w:cs="Arial"/>
        </w:rPr>
      </w:pPr>
      <w:r w:rsidRPr="00107E03">
        <w:rPr>
          <w:rFonts w:asciiTheme="majorHAnsi" w:hAnsiTheme="majorHAnsi" w:cs="Arial"/>
        </w:rPr>
        <w:t xml:space="preserve">Attain the age of 18 years of age or older </w:t>
      </w:r>
      <w:r w:rsidRPr="00107E03">
        <w:rPr>
          <w:rFonts w:asciiTheme="majorHAnsi" w:hAnsiTheme="majorHAnsi" w:cs="Arial"/>
          <w:strike/>
          <w:color w:val="FF0000"/>
        </w:rPr>
        <w:t>and participate 20 - 32 hours weekly, up to six weeks</w:t>
      </w:r>
      <w:r w:rsidRPr="00107E03">
        <w:rPr>
          <w:rFonts w:asciiTheme="majorHAnsi" w:hAnsiTheme="majorHAnsi" w:cs="Arial"/>
        </w:rPr>
        <w:t>.</w:t>
      </w:r>
    </w:p>
    <w:p w:rsidR="00030FBE" w:rsidRPr="00107E03" w:rsidRDefault="00030FBE" w:rsidP="00030FBE">
      <w:pPr>
        <w:pStyle w:val="ListParagraph"/>
        <w:numPr>
          <w:ilvl w:val="1"/>
          <w:numId w:val="2"/>
        </w:numPr>
        <w:spacing w:after="0" w:line="240" w:lineRule="auto"/>
        <w:contextualSpacing w:val="0"/>
        <w:jc w:val="both"/>
        <w:rPr>
          <w:rFonts w:asciiTheme="majorHAnsi" w:hAnsiTheme="majorHAnsi" w:cs="Arial"/>
        </w:rPr>
      </w:pPr>
      <w:r w:rsidRPr="00107E03">
        <w:rPr>
          <w:rFonts w:asciiTheme="majorHAnsi" w:hAnsiTheme="majorHAnsi" w:cs="Arial"/>
        </w:rPr>
        <w:t>Register with DES as a volunteer participant and attend mandatory orientation.</w:t>
      </w:r>
    </w:p>
    <w:p w:rsidR="00030FBE" w:rsidRPr="00107E03" w:rsidRDefault="00030FBE" w:rsidP="00030FBE">
      <w:pPr>
        <w:pStyle w:val="ListParagraph"/>
        <w:numPr>
          <w:ilvl w:val="1"/>
          <w:numId w:val="2"/>
        </w:numPr>
        <w:spacing w:after="0" w:line="240" w:lineRule="auto"/>
        <w:contextualSpacing w:val="0"/>
        <w:jc w:val="both"/>
        <w:rPr>
          <w:rFonts w:asciiTheme="majorHAnsi" w:hAnsiTheme="majorHAnsi" w:cs="Arial"/>
        </w:rPr>
      </w:pPr>
      <w:r w:rsidRPr="00107E03">
        <w:rPr>
          <w:rFonts w:asciiTheme="majorHAnsi" w:hAnsiTheme="majorHAnsi" w:cs="Arial"/>
        </w:rPr>
        <w:t xml:space="preserve">Provide information to DES as requested.  </w:t>
      </w:r>
    </w:p>
    <w:p w:rsidR="00030FBE" w:rsidRPr="00107E03" w:rsidRDefault="00030FBE" w:rsidP="00030FBE">
      <w:pPr>
        <w:pStyle w:val="ListParagraph"/>
        <w:numPr>
          <w:ilvl w:val="1"/>
          <w:numId w:val="2"/>
        </w:numPr>
        <w:spacing w:after="0" w:line="240" w:lineRule="auto"/>
        <w:contextualSpacing w:val="0"/>
        <w:jc w:val="both"/>
        <w:rPr>
          <w:rFonts w:asciiTheme="majorHAnsi" w:hAnsiTheme="majorHAnsi" w:cs="Arial"/>
        </w:rPr>
      </w:pPr>
      <w:r w:rsidRPr="00107E03">
        <w:rPr>
          <w:rFonts w:asciiTheme="majorHAnsi" w:hAnsiTheme="majorHAnsi" w:cs="Arial"/>
        </w:rPr>
        <w:t xml:space="preserve">Be willing to learn new skills or work experience. </w:t>
      </w:r>
    </w:p>
    <w:p w:rsidR="00030FBE" w:rsidRPr="00107E03" w:rsidRDefault="00030FBE" w:rsidP="00030FBE">
      <w:pPr>
        <w:pStyle w:val="ListParagraph"/>
        <w:numPr>
          <w:ilvl w:val="1"/>
          <w:numId w:val="2"/>
        </w:numPr>
        <w:spacing w:after="0" w:line="240" w:lineRule="auto"/>
        <w:contextualSpacing w:val="0"/>
        <w:jc w:val="both"/>
        <w:rPr>
          <w:rFonts w:asciiTheme="majorHAnsi" w:hAnsiTheme="majorHAnsi" w:cs="Arial"/>
        </w:rPr>
      </w:pPr>
      <w:r w:rsidRPr="00107E03">
        <w:rPr>
          <w:rFonts w:asciiTheme="majorHAnsi" w:hAnsiTheme="majorHAnsi" w:cs="Arial"/>
        </w:rPr>
        <w:t>Certify to DES that participation does not guarantee a job.</w:t>
      </w:r>
    </w:p>
    <w:p w:rsidR="00030FBE" w:rsidRPr="00107E03" w:rsidRDefault="00030FBE" w:rsidP="00030FBE">
      <w:pPr>
        <w:pStyle w:val="ListParagraph"/>
        <w:numPr>
          <w:ilvl w:val="1"/>
          <w:numId w:val="2"/>
        </w:numPr>
        <w:spacing w:after="0" w:line="240" w:lineRule="auto"/>
        <w:contextualSpacing w:val="0"/>
        <w:jc w:val="both"/>
        <w:rPr>
          <w:rFonts w:asciiTheme="majorHAnsi" w:hAnsiTheme="majorHAnsi" w:cs="Arial"/>
        </w:rPr>
      </w:pPr>
      <w:r w:rsidRPr="00107E03">
        <w:rPr>
          <w:rFonts w:asciiTheme="majorHAnsi" w:hAnsiTheme="majorHAnsi" w:cs="Arial"/>
        </w:rPr>
        <w:t>Continue to seek work unless exempt as outlined.</w:t>
      </w:r>
    </w:p>
    <w:p w:rsidR="00030FBE" w:rsidRPr="00107E03" w:rsidRDefault="00030FBE" w:rsidP="00030FBE">
      <w:pPr>
        <w:pStyle w:val="ListParagraph"/>
        <w:numPr>
          <w:ilvl w:val="1"/>
          <w:numId w:val="2"/>
        </w:numPr>
        <w:spacing w:after="120" w:line="240" w:lineRule="auto"/>
        <w:contextualSpacing w:val="0"/>
        <w:jc w:val="both"/>
        <w:rPr>
          <w:rFonts w:asciiTheme="majorHAnsi" w:hAnsiTheme="majorHAnsi" w:cs="Arial"/>
        </w:rPr>
      </w:pPr>
      <w:r w:rsidRPr="00107E03">
        <w:rPr>
          <w:rFonts w:asciiTheme="majorHAnsi" w:hAnsiTheme="majorHAnsi" w:cs="Arial"/>
        </w:rPr>
        <w:t>Collect UI benefits while participating in the Program.  (Sec. 1)</w:t>
      </w:r>
    </w:p>
    <w:p w:rsidR="00030FBE" w:rsidRPr="00107E03" w:rsidRDefault="00030FBE" w:rsidP="00030FBE">
      <w:pPr>
        <w:pStyle w:val="ListParagraph"/>
        <w:numPr>
          <w:ilvl w:val="0"/>
          <w:numId w:val="2"/>
        </w:numPr>
        <w:spacing w:after="0" w:line="240" w:lineRule="auto"/>
        <w:contextualSpacing w:val="0"/>
        <w:jc w:val="both"/>
        <w:rPr>
          <w:rFonts w:asciiTheme="majorHAnsi" w:hAnsiTheme="majorHAnsi" w:cs="Arial"/>
        </w:rPr>
      </w:pPr>
      <w:r w:rsidRPr="00107E03">
        <w:rPr>
          <w:rFonts w:asciiTheme="majorHAnsi" w:hAnsiTheme="majorHAnsi" w:cs="Arial"/>
        </w:rPr>
        <w:t xml:space="preserve">Establishes requirements for employers that volunteer to participate as follows:  </w:t>
      </w:r>
    </w:p>
    <w:p w:rsidR="00030FBE" w:rsidRPr="00107E03" w:rsidRDefault="00030FBE" w:rsidP="00030FBE">
      <w:pPr>
        <w:pStyle w:val="ListParagraph"/>
        <w:numPr>
          <w:ilvl w:val="1"/>
          <w:numId w:val="2"/>
        </w:numPr>
        <w:spacing w:after="0" w:line="240" w:lineRule="auto"/>
        <w:contextualSpacing w:val="0"/>
        <w:jc w:val="both"/>
        <w:rPr>
          <w:rFonts w:asciiTheme="majorHAnsi" w:hAnsiTheme="majorHAnsi" w:cs="Arial"/>
        </w:rPr>
      </w:pPr>
      <w:r w:rsidRPr="00107E03">
        <w:rPr>
          <w:rFonts w:asciiTheme="majorHAnsi" w:hAnsiTheme="majorHAnsi" w:cs="Arial"/>
        </w:rPr>
        <w:t>Have employees in Arizona and at least one open full-time position.</w:t>
      </w:r>
    </w:p>
    <w:p w:rsidR="00030FBE" w:rsidRPr="00107E03" w:rsidRDefault="00030FBE" w:rsidP="00030FBE">
      <w:pPr>
        <w:pStyle w:val="ListParagraph"/>
        <w:numPr>
          <w:ilvl w:val="1"/>
          <w:numId w:val="2"/>
        </w:numPr>
        <w:spacing w:after="0" w:line="240" w:lineRule="auto"/>
        <w:contextualSpacing w:val="0"/>
        <w:jc w:val="both"/>
        <w:rPr>
          <w:rFonts w:asciiTheme="majorHAnsi" w:hAnsiTheme="majorHAnsi" w:cs="Arial"/>
        </w:rPr>
      </w:pPr>
      <w:r w:rsidRPr="00107E03">
        <w:rPr>
          <w:rFonts w:asciiTheme="majorHAnsi" w:hAnsiTheme="majorHAnsi" w:cs="Arial"/>
        </w:rPr>
        <w:t>Provide training and notify DES when the employer offers the person a training opportunity.</w:t>
      </w:r>
    </w:p>
    <w:p w:rsidR="00030FBE" w:rsidRPr="00107E03" w:rsidRDefault="00030FBE" w:rsidP="00030FBE">
      <w:pPr>
        <w:pStyle w:val="ListParagraph"/>
        <w:numPr>
          <w:ilvl w:val="1"/>
          <w:numId w:val="2"/>
        </w:numPr>
        <w:spacing w:after="0" w:line="240" w:lineRule="auto"/>
        <w:contextualSpacing w:val="0"/>
        <w:jc w:val="both"/>
        <w:rPr>
          <w:rFonts w:asciiTheme="majorHAnsi" w:hAnsiTheme="majorHAnsi" w:cs="Arial"/>
          <w:strike/>
        </w:rPr>
      </w:pPr>
      <w:r w:rsidRPr="00107E03">
        <w:rPr>
          <w:rFonts w:asciiTheme="majorHAnsi" w:hAnsiTheme="majorHAnsi" w:cs="Arial"/>
          <w:strike/>
          <w:color w:val="FF0000"/>
        </w:rPr>
        <w:t xml:space="preserve">Certify to DES that the employer will not pay </w:t>
      </w:r>
      <w:r w:rsidRPr="00107E03">
        <w:rPr>
          <w:rFonts w:asciiTheme="majorHAnsi" w:hAnsiTheme="majorHAnsi" w:cs="Arial"/>
          <w:i/>
          <w:strike/>
          <w:color w:val="FF0000"/>
        </w:rPr>
        <w:t>wages</w:t>
      </w:r>
      <w:r w:rsidRPr="00107E03">
        <w:rPr>
          <w:rFonts w:asciiTheme="majorHAnsi" w:hAnsiTheme="majorHAnsi" w:cs="Arial"/>
          <w:strike/>
          <w:color w:val="FF0000"/>
        </w:rPr>
        <w:t xml:space="preserve"> during the training period.</w:t>
      </w:r>
    </w:p>
    <w:p w:rsidR="00030FBE" w:rsidRPr="00107E03" w:rsidRDefault="00030FBE" w:rsidP="00030FBE">
      <w:pPr>
        <w:pStyle w:val="ListParagraph"/>
        <w:numPr>
          <w:ilvl w:val="1"/>
          <w:numId w:val="2"/>
        </w:numPr>
        <w:spacing w:after="0" w:line="240" w:lineRule="auto"/>
        <w:contextualSpacing w:val="0"/>
        <w:jc w:val="both"/>
        <w:rPr>
          <w:rFonts w:asciiTheme="majorHAnsi" w:hAnsiTheme="majorHAnsi" w:cs="Arial"/>
        </w:rPr>
      </w:pPr>
      <w:r w:rsidRPr="00107E03">
        <w:rPr>
          <w:rFonts w:asciiTheme="majorHAnsi" w:hAnsiTheme="majorHAnsi" w:cs="Arial"/>
        </w:rPr>
        <w:t>Sign a written agreement stating the terms of the training.</w:t>
      </w:r>
    </w:p>
    <w:p w:rsidR="00030FBE" w:rsidRPr="00107E03" w:rsidRDefault="00030FBE" w:rsidP="00030FBE">
      <w:pPr>
        <w:pStyle w:val="ListParagraph"/>
        <w:numPr>
          <w:ilvl w:val="1"/>
          <w:numId w:val="2"/>
        </w:numPr>
        <w:spacing w:after="0" w:line="240" w:lineRule="auto"/>
        <w:contextualSpacing w:val="0"/>
        <w:jc w:val="both"/>
        <w:rPr>
          <w:rFonts w:asciiTheme="majorHAnsi" w:hAnsiTheme="majorHAnsi" w:cs="Arial"/>
        </w:rPr>
      </w:pPr>
      <w:r w:rsidRPr="00107E03">
        <w:rPr>
          <w:rFonts w:asciiTheme="majorHAnsi" w:hAnsiTheme="majorHAnsi" w:cs="Arial"/>
        </w:rPr>
        <w:t>Guarantee that existing employees will not be displaced in the company due to the employer's participation in the program.</w:t>
      </w:r>
    </w:p>
    <w:p w:rsidR="00030FBE" w:rsidRPr="00107E03" w:rsidRDefault="00030FBE" w:rsidP="00030FBE">
      <w:pPr>
        <w:pStyle w:val="ListParagraph"/>
        <w:numPr>
          <w:ilvl w:val="1"/>
          <w:numId w:val="2"/>
        </w:numPr>
        <w:spacing w:after="120" w:line="240" w:lineRule="auto"/>
        <w:contextualSpacing w:val="0"/>
        <w:jc w:val="both"/>
        <w:rPr>
          <w:rFonts w:asciiTheme="majorHAnsi" w:hAnsiTheme="majorHAnsi" w:cs="Arial"/>
        </w:rPr>
      </w:pPr>
      <w:r w:rsidRPr="00107E03">
        <w:rPr>
          <w:rFonts w:asciiTheme="majorHAnsi" w:hAnsiTheme="majorHAnsi" w:cs="Arial"/>
        </w:rPr>
        <w:t>Provide additional information to DES as requested.  (Sec. 1)</w:t>
      </w:r>
    </w:p>
    <w:p w:rsidR="00030FBE" w:rsidRPr="00107E03" w:rsidRDefault="00030FBE" w:rsidP="00030FBE">
      <w:pPr>
        <w:pStyle w:val="ListParagraph"/>
        <w:numPr>
          <w:ilvl w:val="0"/>
          <w:numId w:val="2"/>
        </w:numPr>
        <w:spacing w:after="120" w:line="240" w:lineRule="auto"/>
        <w:contextualSpacing w:val="0"/>
        <w:jc w:val="both"/>
        <w:rPr>
          <w:rFonts w:asciiTheme="majorHAnsi" w:hAnsiTheme="majorHAnsi" w:cs="Arial"/>
        </w:rPr>
      </w:pPr>
      <w:r w:rsidRPr="00107E03">
        <w:rPr>
          <w:rFonts w:asciiTheme="majorHAnsi" w:hAnsiTheme="majorHAnsi" w:cs="Arial"/>
        </w:rPr>
        <w:t>Exempts DES from rulemaking for one year after the effective date of the enactment.  (Sec. 3)</w:t>
      </w:r>
    </w:p>
    <w:p w:rsidR="00030FBE" w:rsidRPr="00107E03" w:rsidRDefault="00030FBE" w:rsidP="00030FBE">
      <w:pPr>
        <w:pStyle w:val="ListParagraph"/>
        <w:numPr>
          <w:ilvl w:val="0"/>
          <w:numId w:val="2"/>
        </w:numPr>
        <w:spacing w:after="120" w:line="240" w:lineRule="auto"/>
        <w:contextualSpacing w:val="0"/>
        <w:jc w:val="both"/>
        <w:rPr>
          <w:rFonts w:asciiTheme="majorHAnsi" w:hAnsiTheme="majorHAnsi" w:cs="Arial"/>
          <w:strike/>
          <w:color w:val="FF0000"/>
        </w:rPr>
      </w:pPr>
      <w:r w:rsidRPr="00107E03">
        <w:rPr>
          <w:rFonts w:asciiTheme="majorHAnsi" w:hAnsiTheme="majorHAnsi" w:cs="Arial"/>
          <w:strike/>
          <w:color w:val="FF0000"/>
        </w:rPr>
        <w:t>Sunsets the Program on July 1, 2028.  (Sec. 1)</w:t>
      </w:r>
    </w:p>
    <w:p w:rsidR="00030FBE" w:rsidRPr="00107E03" w:rsidRDefault="00030FBE" w:rsidP="00030FBE">
      <w:pPr>
        <w:jc w:val="both"/>
        <w:rPr>
          <w:rFonts w:asciiTheme="majorHAnsi" w:hAnsiTheme="majorHAnsi" w:cs="Arial"/>
          <w:b/>
          <w:sz w:val="22"/>
          <w:szCs w:val="22"/>
          <w:u w:val="single"/>
        </w:rPr>
      </w:pPr>
      <w:r w:rsidRPr="00107E03">
        <w:rPr>
          <w:rFonts w:asciiTheme="majorHAnsi" w:hAnsiTheme="majorHAnsi" w:cs="Arial"/>
          <w:b/>
          <w:sz w:val="22"/>
          <w:szCs w:val="22"/>
          <w:u w:val="single"/>
        </w:rPr>
        <w:lastRenderedPageBreak/>
        <w:t>Current Law</w:t>
      </w:r>
    </w:p>
    <w:p w:rsidR="00030FBE" w:rsidRPr="00107E03" w:rsidRDefault="00030FBE" w:rsidP="00030FBE">
      <w:pPr>
        <w:pStyle w:val="Default"/>
        <w:jc w:val="both"/>
        <w:rPr>
          <w:rFonts w:asciiTheme="majorHAnsi" w:hAnsiTheme="majorHAnsi"/>
          <w:sz w:val="22"/>
          <w:szCs w:val="22"/>
        </w:rPr>
      </w:pPr>
      <w:r w:rsidRPr="00107E03">
        <w:rPr>
          <w:rFonts w:asciiTheme="majorHAnsi" w:hAnsiTheme="majorHAnsi"/>
          <w:sz w:val="22"/>
          <w:szCs w:val="22"/>
        </w:rPr>
        <w:t>Persons who are unemployed through no fault of their own may be eligible for UI benefits, which are based on a formula outlined in statute. The weekly UI benefits are calculated according to wages earned from employers who paid unemployment taxes to the State of Arizona.  The benefit amount is 4% of the wages paid in the highest quarter of the worker's base period, with the current maximum set at $240 per week. (</w:t>
      </w:r>
      <w:hyperlink r:id="rId16" w:history="1">
        <w:r w:rsidRPr="00107E03">
          <w:rPr>
            <w:rStyle w:val="Hyperlink"/>
            <w:rFonts w:asciiTheme="majorHAnsi" w:hAnsiTheme="majorHAnsi"/>
            <w:sz w:val="22"/>
            <w:szCs w:val="22"/>
          </w:rPr>
          <w:t>A.R.S. § 23-779</w:t>
        </w:r>
      </w:hyperlink>
      <w:r w:rsidRPr="00107E03">
        <w:rPr>
          <w:rFonts w:asciiTheme="majorHAnsi" w:hAnsiTheme="majorHAnsi"/>
          <w:sz w:val="22"/>
          <w:szCs w:val="22"/>
        </w:rPr>
        <w:t xml:space="preserve">) </w:t>
      </w:r>
    </w:p>
    <w:p w:rsidR="00030FBE" w:rsidRPr="00107E03" w:rsidRDefault="00030FBE" w:rsidP="00030FBE">
      <w:pPr>
        <w:pStyle w:val="Default"/>
        <w:jc w:val="both"/>
        <w:rPr>
          <w:rFonts w:asciiTheme="majorHAnsi" w:hAnsiTheme="majorHAnsi"/>
          <w:sz w:val="22"/>
          <w:szCs w:val="22"/>
        </w:rPr>
      </w:pPr>
    </w:p>
    <w:p w:rsidR="00030FBE" w:rsidRPr="00107E03" w:rsidRDefault="00030FBE" w:rsidP="00030FBE">
      <w:pPr>
        <w:spacing w:after="120"/>
        <w:jc w:val="both"/>
        <w:rPr>
          <w:rStyle w:val="Hyperlink"/>
          <w:rFonts w:asciiTheme="majorHAnsi" w:hAnsiTheme="majorHAnsi"/>
          <w:sz w:val="22"/>
          <w:szCs w:val="22"/>
        </w:rPr>
      </w:pPr>
      <w:r w:rsidRPr="00107E03">
        <w:rPr>
          <w:rFonts w:asciiTheme="majorHAnsi" w:hAnsiTheme="majorHAnsi"/>
          <w:sz w:val="22"/>
          <w:szCs w:val="22"/>
        </w:rPr>
        <w:t xml:space="preserve">In part, an eligible individual cannot be denied benefits if the person is in federal, state or DES-approved training or is leaving work that is not suitable employment.  </w:t>
      </w:r>
      <w:r w:rsidRPr="00107E03">
        <w:rPr>
          <w:rFonts w:asciiTheme="majorHAnsi" w:hAnsiTheme="majorHAnsi"/>
          <w:i/>
          <w:sz w:val="22"/>
          <w:szCs w:val="22"/>
        </w:rPr>
        <w:t>Suitable employment</w:t>
      </w:r>
      <w:r w:rsidRPr="00107E03">
        <w:rPr>
          <w:rFonts w:asciiTheme="majorHAnsi" w:hAnsiTheme="majorHAnsi"/>
          <w:sz w:val="22"/>
          <w:szCs w:val="22"/>
        </w:rPr>
        <w:t xml:space="preserve"> means that the work is substantially equivalent or a higher skill level than the individual's past employment and the wages equal or exceed 80% of the individual's average weekly wage.  (</w:t>
      </w:r>
      <w:hyperlink r:id="rId17" w:history="1">
        <w:r w:rsidRPr="00107E03">
          <w:rPr>
            <w:rStyle w:val="Hyperlink"/>
            <w:rFonts w:asciiTheme="majorHAnsi" w:hAnsiTheme="majorHAnsi"/>
            <w:sz w:val="22"/>
            <w:szCs w:val="22"/>
          </w:rPr>
          <w:t>A.R.S. § 23-771.01</w:t>
        </w:r>
      </w:hyperlink>
      <w:r w:rsidRPr="00107E03">
        <w:rPr>
          <w:rStyle w:val="Hyperlink"/>
          <w:rFonts w:asciiTheme="majorHAnsi" w:hAnsiTheme="majorHAnsi"/>
          <w:sz w:val="22"/>
          <w:szCs w:val="22"/>
        </w:rPr>
        <w:t>)</w:t>
      </w:r>
    </w:p>
    <w:p w:rsidR="00030FBE" w:rsidRPr="00107E03" w:rsidRDefault="00030FBE" w:rsidP="00030FBE">
      <w:pPr>
        <w:spacing w:after="120"/>
        <w:jc w:val="both"/>
        <w:rPr>
          <w:rFonts w:asciiTheme="majorHAnsi" w:hAnsiTheme="majorHAnsi"/>
          <w:sz w:val="22"/>
          <w:szCs w:val="22"/>
        </w:rPr>
      </w:pPr>
      <w:r w:rsidRPr="00107E03">
        <w:rPr>
          <w:rFonts w:asciiTheme="majorHAnsi" w:hAnsiTheme="majorHAnsi"/>
          <w:sz w:val="22"/>
          <w:szCs w:val="22"/>
        </w:rPr>
        <w:t>DES disqualifies an individual from receiving benefits if the person, without cause, fails to apply for available, suitable work or to actively seek work.  Suitable work is based on factors such as risk to health, safety and morals, physical fitness and prior training, experience and earnings, length of unemployment and distance to the available work from the person's home.  Statute further outlines exceptions and exclusions.   (</w:t>
      </w:r>
      <w:hyperlink r:id="rId18" w:history="1">
        <w:r w:rsidRPr="00107E03">
          <w:rPr>
            <w:rStyle w:val="Hyperlink"/>
            <w:rFonts w:asciiTheme="majorHAnsi" w:hAnsiTheme="majorHAnsi"/>
            <w:sz w:val="22"/>
            <w:szCs w:val="22"/>
          </w:rPr>
          <w:t xml:space="preserve">A.R.S. § </w:t>
        </w:r>
        <w:r w:rsidRPr="00107E03">
          <w:rPr>
            <w:rStyle w:val="Hyperlink"/>
            <w:rFonts w:asciiTheme="majorHAnsi" w:hAnsiTheme="majorHAnsi" w:cs="Arial"/>
            <w:sz w:val="22"/>
            <w:szCs w:val="22"/>
            <w:shd w:val="clear" w:color="auto" w:fill="FFFFFF"/>
          </w:rPr>
          <w:t>23-776</w:t>
        </w:r>
      </w:hyperlink>
      <w:r w:rsidRPr="00107E03">
        <w:rPr>
          <w:rFonts w:asciiTheme="majorHAnsi" w:hAnsiTheme="majorHAnsi"/>
          <w:sz w:val="22"/>
          <w:szCs w:val="22"/>
        </w:rPr>
        <w:t>)</w:t>
      </w:r>
    </w:p>
    <w:p w:rsidR="00030FBE" w:rsidRPr="00107E03" w:rsidRDefault="00030FBE" w:rsidP="00030FBE">
      <w:pPr>
        <w:spacing w:before="200"/>
        <w:jc w:val="both"/>
        <w:rPr>
          <w:rFonts w:asciiTheme="majorHAnsi" w:hAnsiTheme="majorHAnsi" w:cs="Arial"/>
          <w:sz w:val="22"/>
          <w:szCs w:val="22"/>
        </w:rPr>
      </w:pPr>
      <w:r w:rsidRPr="00107E03">
        <w:rPr>
          <w:rFonts w:asciiTheme="majorHAnsi" w:hAnsiTheme="majorHAnsi"/>
          <w:sz w:val="22"/>
          <w:szCs w:val="22"/>
        </w:rPr>
        <w:t xml:space="preserve">An unemployed worker is eligible to receive UI benefits if the person has been paid wages for insured work, registers for work and fills out the necessary claim forms.  The person must regularly report to the DES employment </w:t>
      </w:r>
      <w:proofErr w:type="gramStart"/>
      <w:r w:rsidRPr="00107E03">
        <w:rPr>
          <w:rFonts w:asciiTheme="majorHAnsi" w:hAnsiTheme="majorHAnsi"/>
          <w:sz w:val="22"/>
          <w:szCs w:val="22"/>
        </w:rPr>
        <w:t>office,  be</w:t>
      </w:r>
      <w:proofErr w:type="gramEnd"/>
      <w:r w:rsidRPr="00107E03">
        <w:rPr>
          <w:rFonts w:asciiTheme="majorHAnsi" w:hAnsiTheme="majorHAnsi"/>
          <w:sz w:val="22"/>
          <w:szCs w:val="22"/>
        </w:rPr>
        <w:t xml:space="preserve"> able and available for work and then search for work as outlined for at least four days per week, making at least one job contact each day.  (</w:t>
      </w:r>
      <w:hyperlink r:id="rId19" w:history="1">
        <w:r w:rsidRPr="00107E03">
          <w:rPr>
            <w:rStyle w:val="Hyperlink"/>
            <w:rFonts w:asciiTheme="majorHAnsi" w:hAnsiTheme="majorHAnsi"/>
            <w:sz w:val="22"/>
            <w:szCs w:val="22"/>
          </w:rPr>
          <w:t>A.R.S. § 23-771)</w:t>
        </w:r>
      </w:hyperlink>
    </w:p>
    <w:p w:rsidR="007146A6" w:rsidRPr="00030FBE" w:rsidRDefault="007146A6" w:rsidP="00030FBE">
      <w:pPr>
        <w:spacing w:after="120"/>
        <w:jc w:val="both"/>
        <w:rPr>
          <w:rFonts w:ascii="Cambria" w:hAnsi="Cambria" w:cs="Arial"/>
        </w:rPr>
      </w:pPr>
    </w:p>
    <w:sectPr w:rsidR="007146A6" w:rsidRPr="00030FBE" w:rsidSect="001C749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DCD" w:rsidRDefault="00C71DCD">
      <w:r>
        <w:separator/>
      </w:r>
    </w:p>
  </w:endnote>
  <w:endnote w:type="continuationSeparator" w:id="0">
    <w:p w:rsidR="00C71DCD" w:rsidRDefault="00C7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DF6" w:rsidRDefault="002A0DF6">
    <w:pPr>
      <w:pStyle w:val="Footer"/>
      <w:jc w:val="center"/>
    </w:pPr>
    <w:r>
      <w:t xml:space="preserve">Page </w:t>
    </w:r>
    <w:r>
      <w:fldChar w:fldCharType="begin"/>
    </w:r>
    <w:r>
      <w:instrText xml:space="preserve"> PAGE \* Arabic \* MERGEFORMAT </w:instrText>
    </w:r>
    <w:r>
      <w:fldChar w:fldCharType="separate"/>
    </w:r>
    <w:r w:rsidR="001C7498">
      <w:rPr>
        <w:noProof/>
      </w:rPr>
      <w:t>1</w:t>
    </w:r>
    <w:r>
      <w:fldChar w:fldCharType="end"/>
    </w:r>
    <w:r>
      <w:t xml:space="preserve"> of </w:t>
    </w:r>
    <w:r w:rsidR="00C71DCD">
      <w:fldChar w:fldCharType="begin"/>
    </w:r>
    <w:r w:rsidR="00C71DCD">
      <w:instrText xml:space="preserve"> NUMPAGES \* Arabic \* MERGEFORMA</w:instrText>
    </w:r>
    <w:r w:rsidR="00C71DCD">
      <w:instrText xml:space="preserve">T </w:instrText>
    </w:r>
    <w:r w:rsidR="00C71DCD">
      <w:fldChar w:fldCharType="separate"/>
    </w:r>
    <w:r w:rsidR="001C7498">
      <w:rPr>
        <w:noProof/>
      </w:rPr>
      <w:t>10</w:t>
    </w:r>
    <w:r w:rsidR="00C71DC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FBE" w:rsidRDefault="00030FBE" w:rsidP="000638D6">
    <w:pPr>
      <w:pStyle w:val="Footer"/>
    </w:pPr>
    <w:proofErr w:type="gramStart"/>
    <w:r>
      <w:t>Fifty-third</w:t>
    </w:r>
    <w:proofErr w:type="gramEnd"/>
    <w:r>
      <w:t xml:space="preserve"> Legislature</w:t>
    </w:r>
    <w:r>
      <w:tab/>
    </w:r>
    <w:r>
      <w:tab/>
      <w:t>SB 1140</w:t>
    </w:r>
  </w:p>
  <w:p w:rsidR="00030FBE" w:rsidRDefault="00030FBE" w:rsidP="000638D6">
    <w:pPr>
      <w:pStyle w:val="Footer"/>
    </w:pPr>
    <w:r>
      <w:t>Second Regular Session</w:t>
    </w:r>
    <w:r>
      <w:tab/>
    </w:r>
    <w:r>
      <w:tab/>
      <w:t xml:space="preserve">Version 2: Caucus &amp; COW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FBE" w:rsidRDefault="00030FBE" w:rsidP="000638D6">
    <w:pPr>
      <w:pStyle w:val="Footer"/>
    </w:pPr>
    <w:proofErr w:type="gramStart"/>
    <w:r>
      <w:t>Fifty-third</w:t>
    </w:r>
    <w:proofErr w:type="gramEnd"/>
    <w:r>
      <w:t xml:space="preserve"> Legislature</w:t>
    </w:r>
    <w:r>
      <w:tab/>
    </w:r>
    <w:r>
      <w:tab/>
      <w:t>SB 1196</w:t>
    </w:r>
  </w:p>
  <w:p w:rsidR="00030FBE" w:rsidRDefault="00030FBE" w:rsidP="000638D6">
    <w:pPr>
      <w:pStyle w:val="Footer"/>
    </w:pPr>
    <w:r>
      <w:t>Second Regular Session</w:t>
    </w:r>
    <w:r>
      <w:tab/>
    </w:r>
    <w:r>
      <w:tab/>
      <w:t>Version 2: Caucus &amp; COW</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FBE" w:rsidRDefault="00030FBE" w:rsidP="000638D6">
    <w:pPr>
      <w:pStyle w:val="Footer"/>
    </w:pPr>
    <w:proofErr w:type="gramStart"/>
    <w:r>
      <w:t>Fifty-third</w:t>
    </w:r>
    <w:proofErr w:type="gramEnd"/>
    <w:r>
      <w:t xml:space="preserve"> Legislature</w:t>
    </w:r>
    <w:r>
      <w:tab/>
    </w:r>
    <w:r>
      <w:tab/>
      <w:t>SB 1398</w:t>
    </w:r>
  </w:p>
  <w:p w:rsidR="00030FBE" w:rsidRDefault="00030FBE" w:rsidP="000638D6">
    <w:pPr>
      <w:pStyle w:val="Footer"/>
    </w:pPr>
    <w:r>
      <w:t>Second Regular Session</w:t>
    </w:r>
    <w:r>
      <w:tab/>
    </w:r>
    <w:r>
      <w:tab/>
      <w:t>Version 2: Caucus &amp; COW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DCD" w:rsidRDefault="00C71DCD">
      <w:r>
        <w:separator/>
      </w:r>
    </w:p>
  </w:footnote>
  <w:footnote w:type="continuationSeparator" w:id="0">
    <w:p w:rsidR="00C71DCD" w:rsidRDefault="00C71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E002E0"/>
    <w:multiLevelType w:val="multilevel"/>
    <w:tmpl w:val="54A224A2"/>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42F21197"/>
    <w:multiLevelType w:val="multilevel"/>
    <w:tmpl w:val="54A224A2"/>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FB1BBE"/>
    <w:multiLevelType w:val="multilevel"/>
    <w:tmpl w:val="54A224A2"/>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6A6"/>
    <w:rsid w:val="00030FBE"/>
    <w:rsid w:val="00107E03"/>
    <w:rsid w:val="001C7498"/>
    <w:rsid w:val="002A0DF6"/>
    <w:rsid w:val="003509EE"/>
    <w:rsid w:val="004C7B17"/>
    <w:rsid w:val="004E12CC"/>
    <w:rsid w:val="00506288"/>
    <w:rsid w:val="007146A6"/>
    <w:rsid w:val="00C368D5"/>
    <w:rsid w:val="00C71DCD"/>
    <w:rsid w:val="00E021F5"/>
    <w:rsid w:val="00F8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9011B"/>
  <w15:docId w15:val="{2AAA8983-187D-487C-AB7E-944018DD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30FBE"/>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FONT">
    <w:name w:val="BASE FONT"/>
    <w:rPr>
      <w:noProof/>
    </w:rPr>
  </w:style>
  <w:style w:type="paragraph" w:styleId="Title">
    <w:name w:val="Title"/>
    <w:basedOn w:val="Normal"/>
    <w:qFormat/>
    <w:pPr>
      <w:jc w:val="center"/>
    </w:pPr>
    <w:rPr>
      <w:rFonts w:ascii="Arial" w:hAnsi="Arial"/>
      <w:b/>
      <w:sz w:val="4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1Char">
    <w:name w:val="Heading 1 Char"/>
    <w:basedOn w:val="DefaultParagraphFont"/>
    <w:link w:val="Heading1"/>
    <w:uiPriority w:val="9"/>
    <w:rsid w:val="00030FBE"/>
    <w:rPr>
      <w:rFonts w:ascii="Cambria" w:hAnsi="Cambria"/>
      <w:b/>
      <w:bCs/>
      <w:kern w:val="32"/>
      <w:sz w:val="32"/>
      <w:szCs w:val="32"/>
    </w:rPr>
  </w:style>
  <w:style w:type="character" w:customStyle="1" w:styleId="FooterChar">
    <w:name w:val="Footer Char"/>
    <w:link w:val="Footer"/>
    <w:uiPriority w:val="99"/>
    <w:rsid w:val="00030FBE"/>
  </w:style>
  <w:style w:type="character" w:styleId="Hyperlink">
    <w:name w:val="Hyperlink"/>
    <w:uiPriority w:val="99"/>
    <w:unhideWhenUsed/>
    <w:rsid w:val="00030FBE"/>
    <w:rPr>
      <w:color w:val="0000FF"/>
      <w:u w:val="single"/>
    </w:rPr>
  </w:style>
  <w:style w:type="paragraph" w:styleId="ListParagraph">
    <w:name w:val="List Paragraph"/>
    <w:basedOn w:val="Normal"/>
    <w:uiPriority w:val="34"/>
    <w:qFormat/>
    <w:rsid w:val="00030FBE"/>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030F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0FBE"/>
    <w:pPr>
      <w:autoSpaceDE w:val="0"/>
      <w:autoSpaceDN w:val="0"/>
      <w:adjustRightInd w:val="0"/>
    </w:pPr>
    <w:rPr>
      <w:rFonts w:ascii="Cambria" w:eastAsia="Calibri" w:hAnsi="Cambria" w:cs="Cambria"/>
      <w:color w:val="000000"/>
      <w:sz w:val="24"/>
      <w:szCs w:val="24"/>
    </w:rPr>
  </w:style>
  <w:style w:type="character" w:styleId="UnresolvedMention">
    <w:name w:val="Unresolved Mention"/>
    <w:basedOn w:val="DefaultParagraphFont"/>
    <w:uiPriority w:val="99"/>
    <w:semiHidden/>
    <w:unhideWhenUsed/>
    <w:rsid w:val="00506288"/>
    <w:rPr>
      <w:color w:val="808080"/>
      <w:shd w:val="clear" w:color="auto" w:fill="E6E6E6"/>
    </w:rPr>
  </w:style>
  <w:style w:type="character" w:styleId="FollowedHyperlink">
    <w:name w:val="FollowedHyperlink"/>
    <w:basedOn w:val="DefaultParagraphFont"/>
    <w:semiHidden/>
    <w:unhideWhenUsed/>
    <w:rsid w:val="001C74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zleg.gov/viewdocument/?docName=https://www.azleg.gov/ars/15/00184.htm" TargetMode="External"/><Relationship Id="rId18" Type="http://schemas.openxmlformats.org/officeDocument/2006/relationships/hyperlink" Target="https://www.azleg.gov/viewdocument/?docName=https://www.azleg.gov/ars/23/00776.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apps.azleg.gov/BillStatus/BillOverview/70279" TargetMode="External"/><Relationship Id="rId17" Type="http://schemas.openxmlformats.org/officeDocument/2006/relationships/hyperlink" Target="https://www.azleg.gov/viewdocument/?docName=https%3A%2F%2Fwww.azleg.gov%2Fars%2F23%2F00771-01.htm" TargetMode="External"/><Relationship Id="rId2" Type="http://schemas.openxmlformats.org/officeDocument/2006/relationships/styles" Target="styles.xml"/><Relationship Id="rId16" Type="http://schemas.openxmlformats.org/officeDocument/2006/relationships/hyperlink" Target="https://www.azleg.gov/viewdocument/?docName=https://www.azleg.gov/ars/23/00779.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apps.azleg.gov/BillStatus/BillOverview/70565" TargetMode="External"/><Relationship Id="rId10" Type="http://schemas.openxmlformats.org/officeDocument/2006/relationships/hyperlink" Target="https://apps.azleg.gov/BillStatus/BillOverview/69151" TargetMode="External"/><Relationship Id="rId19" Type="http://schemas.openxmlformats.org/officeDocument/2006/relationships/hyperlink" Target="https://www.azleg.gov/viewdocument/?docName=https://www.azleg.gov/ars/23/00771.ht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calendar\HOUcaucu.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HOUcaucu</Template>
  <TotalTime>0</TotalTime>
  <Pages>10</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CAUCUS CALENDAR</vt:lpstr>
    </vt:vector>
  </TitlesOfParts>
  <Company>LCS</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CAUCUS CALENDAR</dc:title>
  <dc:creator>Jackie Wright</dc:creator>
  <cp:lastModifiedBy>Chase Houser</cp:lastModifiedBy>
  <cp:revision>2</cp:revision>
  <dcterms:created xsi:type="dcterms:W3CDTF">2018-04-09T21:21:00Z</dcterms:created>
  <dcterms:modified xsi:type="dcterms:W3CDTF">2018-04-09T21:21:00Z</dcterms:modified>
</cp:coreProperties>
</file>