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68DB" w14:textId="77777777" w:rsidR="005925E2" w:rsidRPr="00A637DB" w:rsidRDefault="00DE4155">
      <w:pPr>
        <w:pStyle w:val="SEC06-18"/>
        <w:rPr>
          <w:rFonts w:ascii="Courier New" w:hAnsi="Courier New"/>
          <w:noProof w:val="0"/>
        </w:rPr>
      </w:pPr>
      <w:r w:rsidRPr="00A637DB">
        <w:rPr>
          <w:rFonts w:ascii="Courier New" w:hAnsi="Courier New"/>
          <w:vanish/>
        </w:rPr>
        <w:fldChar w:fldCharType="begin"/>
      </w:r>
      <w:r w:rsidRPr="00A637DB">
        <w:rPr>
          <w:rFonts w:ascii="Courier New" w:hAnsi="Courier New"/>
          <w:vanish/>
        </w:rPr>
        <w:instrText xml:space="preserve"> COMMENTS START_STATUTE \* MERGEFORMAT </w:instrText>
      </w:r>
      <w:r w:rsidRPr="00A637DB">
        <w:rPr>
          <w:rFonts w:ascii="Courier New" w:hAnsi="Courier New"/>
          <w:vanish/>
        </w:rPr>
        <w:fldChar w:fldCharType="separate"/>
      </w:r>
      <w:r w:rsidRPr="00A637DB">
        <w:rPr>
          <w:rFonts w:ascii="Courier New" w:hAnsi="Courier New"/>
          <w:vanish/>
        </w:rPr>
        <w:t>START_STATUTE</w:t>
      </w:r>
      <w:r w:rsidRPr="00A637DB">
        <w:rPr>
          <w:rFonts w:ascii="Courier New" w:hAnsi="Courier New"/>
          <w:vanish/>
        </w:rPr>
        <w:fldChar w:fldCharType="end"/>
      </w:r>
      <w:r w:rsidR="005925E2" w:rsidRPr="00A637DB">
        <w:rPr>
          <w:rStyle w:val="SNUM"/>
          <w:rFonts w:ascii="Courier New" w:hAnsi="Courier New"/>
          <w:noProof w:val="0"/>
        </w:rPr>
        <w:t>48-3016</w:t>
      </w:r>
      <w:r w:rsidR="005925E2" w:rsidRPr="00A637DB">
        <w:rPr>
          <w:rFonts w:ascii="Courier New" w:hAnsi="Courier New"/>
          <w:noProof w:val="0"/>
        </w:rPr>
        <w:t>.  </w:t>
      </w:r>
      <w:r w:rsidR="005925E2" w:rsidRPr="00A637DB">
        <w:rPr>
          <w:rStyle w:val="SECHEAD"/>
          <w:rFonts w:ascii="Courier New" w:hAnsi="Courier New"/>
          <w:noProof w:val="0"/>
        </w:rPr>
        <w:t>Notice of election; polling places; election judges</w:t>
      </w:r>
    </w:p>
    <w:p w14:paraId="4CE7756C" w14:textId="77777777" w:rsidR="005925E2" w:rsidRPr="00A637DB" w:rsidRDefault="005925E2">
      <w:pPr>
        <w:pStyle w:val="P06-00"/>
        <w:rPr>
          <w:rFonts w:ascii="Courier New" w:hAnsi="Courier New"/>
          <w:noProof w:val="0"/>
        </w:rPr>
      </w:pPr>
      <w:r w:rsidRPr="00A637DB">
        <w:rPr>
          <w:rFonts w:ascii="Courier New" w:hAnsi="Courier New"/>
          <w:noProof w:val="0"/>
        </w:rPr>
        <w:t>A.  Fifteen days before a district election, the district secretary shall:</w:t>
      </w:r>
    </w:p>
    <w:p w14:paraId="66907E3C" w14:textId="77777777" w:rsidR="005925E2" w:rsidRPr="00A637DB" w:rsidRDefault="005925E2">
      <w:pPr>
        <w:pStyle w:val="P06-00"/>
        <w:rPr>
          <w:rFonts w:ascii="Courier New" w:hAnsi="Courier New"/>
          <w:noProof w:val="0"/>
        </w:rPr>
      </w:pPr>
      <w:r w:rsidRPr="00A637DB">
        <w:rPr>
          <w:rFonts w:ascii="Courier New" w:hAnsi="Courier New"/>
          <w:noProof w:val="0"/>
        </w:rPr>
        <w:t>1.  Cause a notice or notices to be posted in each division:</w:t>
      </w:r>
    </w:p>
    <w:p w14:paraId="5047A102" w14:textId="77777777" w:rsidR="005925E2" w:rsidRPr="00A637DB" w:rsidRDefault="005925E2">
      <w:pPr>
        <w:pStyle w:val="P06-00"/>
        <w:rPr>
          <w:rFonts w:ascii="Courier New" w:hAnsi="Courier New"/>
          <w:noProof w:val="0"/>
        </w:rPr>
      </w:pPr>
      <w:r w:rsidRPr="00A637DB">
        <w:rPr>
          <w:rFonts w:ascii="Courier New" w:hAnsi="Courier New"/>
          <w:noProof w:val="0"/>
        </w:rPr>
        <w:t xml:space="preserve">(a)  Giving the time and place of holding the election. </w:t>
      </w:r>
    </w:p>
    <w:p w14:paraId="66F8A211" w14:textId="77777777" w:rsidR="005925E2" w:rsidRPr="00A637DB" w:rsidRDefault="005925E2">
      <w:pPr>
        <w:pStyle w:val="P06-00"/>
        <w:rPr>
          <w:rFonts w:ascii="Courier New" w:hAnsi="Courier New"/>
          <w:noProof w:val="0"/>
        </w:rPr>
      </w:pPr>
      <w:r w:rsidRPr="00A637DB">
        <w:rPr>
          <w:rFonts w:ascii="Courier New" w:hAnsi="Courier New"/>
          <w:noProof w:val="0"/>
        </w:rPr>
        <w:t xml:space="preserve">(b)  Specifying the polling places of each division or a central polling place for the district, which may be the district's business office. </w:t>
      </w:r>
    </w:p>
    <w:p w14:paraId="6B6E45EF" w14:textId="77777777" w:rsidR="005925E2" w:rsidRPr="00A637DB" w:rsidRDefault="005925E2">
      <w:pPr>
        <w:pStyle w:val="P06-00"/>
        <w:rPr>
          <w:rFonts w:ascii="Courier New" w:hAnsi="Courier New"/>
          <w:noProof w:val="0"/>
        </w:rPr>
      </w:pPr>
      <w:r w:rsidRPr="00A637DB">
        <w:rPr>
          <w:rFonts w:ascii="Courier New" w:hAnsi="Courier New"/>
          <w:noProof w:val="0"/>
        </w:rPr>
        <w:t>2.  Post a general notice of the election in the office of the district.</w:t>
      </w:r>
    </w:p>
    <w:p w14:paraId="007DC0EA" w14:textId="77777777" w:rsidR="005925E2" w:rsidRPr="00A637DB" w:rsidRDefault="005925E2">
      <w:pPr>
        <w:pStyle w:val="P06-00"/>
        <w:rPr>
          <w:rFonts w:ascii="Courier New" w:hAnsi="Courier New"/>
          <w:noProof w:val="0"/>
        </w:rPr>
      </w:pPr>
      <w:r w:rsidRPr="00A637DB">
        <w:rPr>
          <w:rFonts w:ascii="Courier New" w:hAnsi="Courier New"/>
          <w:noProof w:val="0"/>
        </w:rPr>
        <w:t>B.  Prior to the time for posting notices, the board of directors shall appoint three registered voters of this state to be election judges at each polling place and shall designate one judge at each polling place to act as clerk and one to act as inspector.  If the board fails to appoint the election judges or the persons appointed do not attend the opening of the polls on the morning of the election, the electors who are present at the opening hour stated in the notice may appoint the judges or appoint another person in place of an absent judge.</w:t>
      </w:r>
    </w:p>
    <w:p w14:paraId="735E7173" w14:textId="77777777" w:rsidR="005925E2" w:rsidRPr="00A637DB" w:rsidRDefault="005925E2">
      <w:pPr>
        <w:pStyle w:val="P06-00"/>
        <w:rPr>
          <w:rFonts w:ascii="Courier New" w:hAnsi="Courier New"/>
          <w:noProof w:val="0"/>
        </w:rPr>
      </w:pPr>
      <w:r w:rsidRPr="00A637DB">
        <w:rPr>
          <w:rFonts w:ascii="Courier New" w:hAnsi="Courier New"/>
          <w:noProof w:val="0"/>
        </w:rPr>
        <w:t>C.  At the election the board of directors shall provide the judges with necessary election supplies, including ballots.</w:t>
      </w:r>
    </w:p>
    <w:p w14:paraId="09333B93" w14:textId="77777777" w:rsidR="005925E2" w:rsidRPr="00A637DB" w:rsidRDefault="005925E2">
      <w:pPr>
        <w:pStyle w:val="P06-00"/>
        <w:rPr>
          <w:rFonts w:ascii="Courier New" w:hAnsi="Courier New"/>
          <w:noProof w:val="0"/>
        </w:rPr>
      </w:pPr>
      <w:r w:rsidRPr="00A637DB">
        <w:rPr>
          <w:rFonts w:ascii="Courier New" w:hAnsi="Courier New"/>
          <w:noProof w:val="0"/>
        </w:rPr>
        <w:t xml:space="preserve">D.  In all elections, each election judge, before opening the polls, shall take and subscribe an oath to perform faithfully the duties imposed by law.  Any general elector of the district may administer and certify the oath. </w:t>
      </w:r>
      <w:r w:rsidR="00DE4155" w:rsidRPr="00A637DB">
        <w:rPr>
          <w:rFonts w:ascii="Courier New" w:hAnsi="Courier New"/>
          <w:vanish/>
        </w:rPr>
        <w:fldChar w:fldCharType="begin"/>
      </w:r>
      <w:r w:rsidR="00DE4155" w:rsidRPr="00A637DB">
        <w:rPr>
          <w:rFonts w:ascii="Courier New" w:hAnsi="Courier New"/>
          <w:vanish/>
        </w:rPr>
        <w:instrText xml:space="preserve"> COMMENTS END_STATUTE \* MERGEFORMAT </w:instrText>
      </w:r>
      <w:r w:rsidR="00DE4155" w:rsidRPr="00A637DB">
        <w:rPr>
          <w:rFonts w:ascii="Courier New" w:hAnsi="Courier New"/>
          <w:vanish/>
        </w:rPr>
        <w:fldChar w:fldCharType="separate"/>
      </w:r>
      <w:r w:rsidR="00DE4155" w:rsidRPr="00A637DB">
        <w:rPr>
          <w:rFonts w:ascii="Courier New" w:hAnsi="Courier New"/>
          <w:vanish/>
        </w:rPr>
        <w:t>END_STATUTE</w:t>
      </w:r>
      <w:r w:rsidR="00DE4155" w:rsidRPr="00A637DB">
        <w:rPr>
          <w:rFonts w:ascii="Courier New" w:hAnsi="Courier New"/>
          <w:vanish/>
        </w:rPr>
        <w:fldChar w:fldCharType="end"/>
      </w:r>
    </w:p>
    <w:sectPr w:rsidR="005925E2" w:rsidRPr="00A637D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9FF3" w14:textId="77777777" w:rsidR="005925E2" w:rsidRDefault="005925E2">
      <w:r>
        <w:separator/>
      </w:r>
    </w:p>
  </w:endnote>
  <w:endnote w:type="continuationSeparator" w:id="0">
    <w:p w14:paraId="2DB04D8C" w14:textId="77777777" w:rsidR="005925E2" w:rsidRDefault="0059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4D97" w14:textId="77777777" w:rsidR="005925E2" w:rsidRDefault="00592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6137" w14:textId="77777777" w:rsidR="005925E2" w:rsidRDefault="005925E2">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C71D" w14:textId="77777777" w:rsidR="005925E2" w:rsidRDefault="00592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198C" w14:textId="77777777" w:rsidR="005925E2" w:rsidRDefault="005925E2">
      <w:r>
        <w:separator/>
      </w:r>
    </w:p>
  </w:footnote>
  <w:footnote w:type="continuationSeparator" w:id="0">
    <w:p w14:paraId="08125F60" w14:textId="77777777" w:rsidR="005925E2" w:rsidRDefault="0059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4300" w14:textId="77777777" w:rsidR="005925E2" w:rsidRDefault="00592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3FC8" w14:textId="77777777" w:rsidR="005925E2" w:rsidRDefault="005925E2">
    <w:pPr>
      <w:pStyle w:val="Header"/>
    </w:pPr>
  </w:p>
  <w:p w14:paraId="2667C4B5" w14:textId="77777777" w:rsidR="005925E2" w:rsidRDefault="005925E2">
    <w:pPr>
      <w:pStyle w:val="Header"/>
    </w:pPr>
  </w:p>
  <w:p w14:paraId="75F2208D" w14:textId="77777777" w:rsidR="005925E2" w:rsidRDefault="005925E2">
    <w:pPr>
      <w:pStyle w:val="Header"/>
    </w:pPr>
  </w:p>
  <w:p w14:paraId="64D7C864" w14:textId="77777777" w:rsidR="005925E2" w:rsidRDefault="005925E2">
    <w:pPr>
      <w:pStyle w:val="Header"/>
    </w:pPr>
  </w:p>
  <w:p w14:paraId="452F983E" w14:textId="77777777" w:rsidR="005925E2" w:rsidRDefault="00592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8033" w14:textId="77777777" w:rsidR="005925E2" w:rsidRDefault="00592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55"/>
    <w:rsid w:val="005925E2"/>
    <w:rsid w:val="00A637DB"/>
    <w:rsid w:val="00DE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19B279"/>
  <w15:chartTrackingRefBased/>
  <w15:docId w15:val="{34CF3F86-E7C2-4992-B687-DFA31C3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254</Words>
  <Characters>1224</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48-3016</vt:lpstr>
    </vt:vector>
  </TitlesOfParts>
  <Company>LCS</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48-3016; Notice of election; polling places; election judges</dc:title>
  <dc:subject>Notice of election; polling places; election judges</dc:subject>
  <dc:creator>Arizona Legislative Council</dc:creator>
  <cp:keywords/>
  <dc:description>48_x001e_3016</dc:description>
  <cp:lastModifiedBy>dbupdate</cp:lastModifiedBy>
  <cp:revision>2</cp:revision>
  <cp:lastPrinted>1999-03-22T18:35:00Z</cp:lastPrinted>
  <dcterms:created xsi:type="dcterms:W3CDTF">2023-09-15T13:43:00Z</dcterms:created>
  <dcterms:modified xsi:type="dcterms:W3CDTF">2023-09-15T13:43:00Z</dcterms:modified>
</cp:coreProperties>
</file>