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0537A" w14:textId="77777777" w:rsidR="00CF3F74" w:rsidRPr="00021B20" w:rsidRDefault="00B731E1">
      <w:pPr>
        <w:pStyle w:val="SEC06-18"/>
        <w:rPr>
          <w:rFonts w:ascii="Courier New" w:hAnsi="Courier New"/>
          <w:noProof w:val="0"/>
        </w:rPr>
      </w:pPr>
      <w:r w:rsidRPr="00021B20">
        <w:rPr>
          <w:rFonts w:ascii="Courier New" w:hAnsi="Courier New"/>
          <w:vanish/>
        </w:rPr>
        <w:fldChar w:fldCharType="begin"/>
      </w:r>
      <w:r w:rsidRPr="00021B20">
        <w:rPr>
          <w:rFonts w:ascii="Courier New" w:hAnsi="Courier New"/>
          <w:vanish/>
        </w:rPr>
        <w:instrText xml:space="preserve"> COMMENTS START_STATUTE \* MERGEFORMAT </w:instrText>
      </w:r>
      <w:r w:rsidRPr="00021B20">
        <w:rPr>
          <w:rFonts w:ascii="Courier New" w:hAnsi="Courier New"/>
          <w:vanish/>
        </w:rPr>
        <w:fldChar w:fldCharType="separate"/>
      </w:r>
      <w:r w:rsidRPr="00021B20">
        <w:rPr>
          <w:rFonts w:ascii="Courier New" w:hAnsi="Courier New"/>
          <w:vanish/>
        </w:rPr>
        <w:t>START_STATUTE</w:t>
      </w:r>
      <w:r w:rsidRPr="00021B20">
        <w:rPr>
          <w:rFonts w:ascii="Courier New" w:hAnsi="Courier New"/>
          <w:vanish/>
        </w:rPr>
        <w:fldChar w:fldCharType="end"/>
      </w:r>
      <w:r w:rsidR="00CF3F74" w:rsidRPr="00021B20">
        <w:rPr>
          <w:rStyle w:val="SNUM"/>
          <w:rFonts w:ascii="Courier New" w:hAnsi="Courier New"/>
          <w:noProof w:val="0"/>
        </w:rPr>
        <w:t>48-2210</w:t>
      </w:r>
      <w:r w:rsidR="00CF3F74" w:rsidRPr="00021B20">
        <w:rPr>
          <w:rFonts w:ascii="Courier New" w:hAnsi="Courier New"/>
          <w:noProof w:val="0"/>
        </w:rPr>
        <w:t>.  </w:t>
      </w:r>
      <w:r w:rsidR="00CF3F74" w:rsidRPr="00021B20">
        <w:rPr>
          <w:rStyle w:val="SECHEAD"/>
          <w:rFonts w:ascii="Courier New" w:hAnsi="Courier New"/>
          <w:noProof w:val="0"/>
        </w:rPr>
        <w:t>Health services survey and report; review by department</w:t>
      </w:r>
    </w:p>
    <w:p w14:paraId="7B0F54C5" w14:textId="77777777" w:rsidR="00CF3F74" w:rsidRPr="00021B20" w:rsidRDefault="00CF3F74">
      <w:pPr>
        <w:pStyle w:val="P06-00"/>
        <w:rPr>
          <w:rFonts w:ascii="Courier New" w:hAnsi="Courier New"/>
          <w:noProof w:val="0"/>
        </w:rPr>
      </w:pPr>
      <w:r w:rsidRPr="00021B20">
        <w:rPr>
          <w:rFonts w:ascii="Courier New" w:hAnsi="Courier New"/>
          <w:noProof w:val="0"/>
        </w:rPr>
        <w:t>A.  When a health services district is established, the board of directors shall conduct or cause to be conducted a survey of the ambulance service, ambulatory or other nonhospital-based medical service problems within the district.</w:t>
      </w:r>
    </w:p>
    <w:p w14:paraId="16340786" w14:textId="77777777" w:rsidR="00CF3F74" w:rsidRPr="00021B20" w:rsidRDefault="00CF3F74">
      <w:pPr>
        <w:pStyle w:val="P06-00"/>
        <w:rPr>
          <w:rFonts w:ascii="Courier New" w:hAnsi="Courier New"/>
          <w:noProof w:val="0"/>
        </w:rPr>
      </w:pPr>
      <w:r w:rsidRPr="00021B20">
        <w:rPr>
          <w:rFonts w:ascii="Courier New" w:hAnsi="Courier New"/>
          <w:noProof w:val="0"/>
        </w:rPr>
        <w:t>B.  Upon the completion of the survey, there shall be prepared and filed with the board of directors, the organizing board and the department a report setting forth:</w:t>
      </w:r>
    </w:p>
    <w:p w14:paraId="65116031" w14:textId="77777777" w:rsidR="00CF3F74" w:rsidRPr="00021B20" w:rsidRDefault="00CF3F74">
      <w:pPr>
        <w:pStyle w:val="P06-00"/>
        <w:rPr>
          <w:rFonts w:ascii="Courier New" w:hAnsi="Courier New"/>
          <w:noProof w:val="0"/>
        </w:rPr>
      </w:pPr>
      <w:r w:rsidRPr="00021B20">
        <w:rPr>
          <w:rFonts w:ascii="Courier New" w:hAnsi="Courier New"/>
          <w:noProof w:val="0"/>
        </w:rPr>
        <w:t>1.  A description of existing services and facilities available within the district.</w:t>
      </w:r>
    </w:p>
    <w:p w14:paraId="66A420B3" w14:textId="77777777" w:rsidR="00CF3F74" w:rsidRPr="00021B20" w:rsidRDefault="00CF3F74">
      <w:pPr>
        <w:pStyle w:val="P06-00"/>
        <w:rPr>
          <w:rFonts w:ascii="Courier New" w:hAnsi="Courier New"/>
          <w:noProof w:val="0"/>
        </w:rPr>
      </w:pPr>
      <w:r w:rsidRPr="00021B20">
        <w:rPr>
          <w:rFonts w:ascii="Courier New" w:hAnsi="Courier New"/>
          <w:noProof w:val="0"/>
        </w:rPr>
        <w:t>2.  A description of recommended services and facilities with plans and specifications for carrying out the purposes of the district.</w:t>
      </w:r>
    </w:p>
    <w:p w14:paraId="41875841" w14:textId="77777777" w:rsidR="00CF3F74" w:rsidRPr="00021B20" w:rsidRDefault="00CF3F74">
      <w:pPr>
        <w:pStyle w:val="P06-00"/>
        <w:rPr>
          <w:rFonts w:ascii="Courier New" w:hAnsi="Courier New"/>
          <w:noProof w:val="0"/>
        </w:rPr>
      </w:pPr>
      <w:r w:rsidRPr="00021B20">
        <w:rPr>
          <w:rFonts w:ascii="Courier New" w:hAnsi="Courier New"/>
          <w:noProof w:val="0"/>
        </w:rPr>
        <w:t>3.  A description of the arrangements which have been made or are in the process of being made to ensure that staff and a coordinating medical provider, as defined pursuant to section 36</w:t>
      </w:r>
      <w:r w:rsidRPr="00021B20">
        <w:rPr>
          <w:rFonts w:ascii="Courier New" w:hAnsi="Courier New"/>
          <w:noProof w:val="0"/>
        </w:rPr>
        <w:noBreakHyphen/>
        <w:t>2351, are available for the district.</w:t>
      </w:r>
    </w:p>
    <w:p w14:paraId="00519EAB" w14:textId="77777777" w:rsidR="00CF3F74" w:rsidRPr="00021B20" w:rsidRDefault="00CF3F74">
      <w:pPr>
        <w:pStyle w:val="P06-00"/>
        <w:rPr>
          <w:rFonts w:ascii="Courier New" w:hAnsi="Courier New"/>
          <w:noProof w:val="0"/>
        </w:rPr>
      </w:pPr>
      <w:r w:rsidRPr="00021B20">
        <w:rPr>
          <w:rFonts w:ascii="Courier New" w:hAnsi="Courier New"/>
          <w:noProof w:val="0"/>
        </w:rPr>
        <w:t>4.  A description of the property proposed to be acquired for implementation of the recommendations.</w:t>
      </w:r>
    </w:p>
    <w:p w14:paraId="5640AC8F" w14:textId="77777777" w:rsidR="00CF3F74" w:rsidRPr="00021B20" w:rsidRDefault="00CF3F74">
      <w:pPr>
        <w:pStyle w:val="P06-00"/>
        <w:rPr>
          <w:rFonts w:ascii="Courier New" w:hAnsi="Courier New"/>
          <w:noProof w:val="0"/>
        </w:rPr>
      </w:pPr>
      <w:r w:rsidRPr="00021B20">
        <w:rPr>
          <w:rFonts w:ascii="Courier New" w:hAnsi="Courier New"/>
          <w:noProof w:val="0"/>
        </w:rPr>
        <w:t>5.  A map showing the boundaries of the district and in general the location of work proposed to be done, property taken or damages and other information useful to an understanding of the proposed work.</w:t>
      </w:r>
    </w:p>
    <w:p w14:paraId="0A28CAC3" w14:textId="77777777" w:rsidR="00CF3F74" w:rsidRPr="00021B20" w:rsidRDefault="00CF3F74">
      <w:pPr>
        <w:pStyle w:val="P06-00"/>
        <w:rPr>
          <w:rFonts w:ascii="Courier New" w:hAnsi="Courier New"/>
          <w:noProof w:val="0"/>
        </w:rPr>
      </w:pPr>
      <w:r w:rsidRPr="00021B20">
        <w:rPr>
          <w:rFonts w:ascii="Courier New" w:hAnsi="Courier New"/>
          <w:noProof w:val="0"/>
        </w:rPr>
        <w:t>6.  An estimate of the cost of the proposed recommendation including:</w:t>
      </w:r>
    </w:p>
    <w:p w14:paraId="59F7506A" w14:textId="77777777" w:rsidR="00CF3F74" w:rsidRPr="00021B20" w:rsidRDefault="00CF3F74">
      <w:pPr>
        <w:pStyle w:val="P06-00"/>
        <w:rPr>
          <w:rFonts w:ascii="Courier New" w:hAnsi="Courier New"/>
          <w:noProof w:val="0"/>
        </w:rPr>
      </w:pPr>
      <w:r w:rsidRPr="00021B20">
        <w:rPr>
          <w:rFonts w:ascii="Courier New" w:hAnsi="Courier New"/>
          <w:noProof w:val="0"/>
        </w:rPr>
        <w:t>(a)  First year capital costs in implementing the plan.</w:t>
      </w:r>
    </w:p>
    <w:p w14:paraId="7FD4C779" w14:textId="77777777" w:rsidR="00CF3F74" w:rsidRPr="00021B20" w:rsidRDefault="00CF3F74">
      <w:pPr>
        <w:pStyle w:val="P06-00"/>
        <w:rPr>
          <w:rFonts w:ascii="Courier New" w:hAnsi="Courier New"/>
          <w:noProof w:val="0"/>
        </w:rPr>
      </w:pPr>
      <w:r w:rsidRPr="00021B20">
        <w:rPr>
          <w:rFonts w:ascii="Courier New" w:hAnsi="Courier New"/>
          <w:noProof w:val="0"/>
        </w:rPr>
        <w:t>(b)  Additional capital costs expected to be incurred in the first five years of implementation and for the subsequent five years.</w:t>
      </w:r>
    </w:p>
    <w:p w14:paraId="20F56C6A" w14:textId="77777777" w:rsidR="00CF3F74" w:rsidRPr="00021B20" w:rsidRDefault="00CF3F74">
      <w:pPr>
        <w:pStyle w:val="P06-00"/>
        <w:rPr>
          <w:rFonts w:ascii="Courier New" w:hAnsi="Courier New"/>
          <w:noProof w:val="0"/>
        </w:rPr>
      </w:pPr>
      <w:r w:rsidRPr="00021B20">
        <w:rPr>
          <w:rFonts w:ascii="Courier New" w:hAnsi="Courier New"/>
          <w:noProof w:val="0"/>
        </w:rPr>
        <w:t>(c)  Yearly expected operating costs for the first three years of implementation.</w:t>
      </w:r>
    </w:p>
    <w:p w14:paraId="024CD0F0" w14:textId="77777777" w:rsidR="00CF3F74" w:rsidRPr="00021B20" w:rsidRDefault="00CF3F74">
      <w:pPr>
        <w:pStyle w:val="P06-00"/>
        <w:rPr>
          <w:rFonts w:ascii="Courier New" w:hAnsi="Courier New"/>
          <w:noProof w:val="0"/>
        </w:rPr>
      </w:pPr>
      <w:r w:rsidRPr="00021B20">
        <w:rPr>
          <w:rFonts w:ascii="Courier New" w:hAnsi="Courier New"/>
          <w:noProof w:val="0"/>
        </w:rPr>
        <w:t>(d)  Proposed sources of funds and amounts to be received from each source during the first three years of operation.</w:t>
      </w:r>
    </w:p>
    <w:p w14:paraId="57F84407" w14:textId="77777777" w:rsidR="00CF3F74" w:rsidRPr="00021B20" w:rsidRDefault="00CF3F74">
      <w:pPr>
        <w:pStyle w:val="P06-00"/>
        <w:rPr>
          <w:rFonts w:ascii="Courier New" w:hAnsi="Courier New"/>
          <w:noProof w:val="0"/>
        </w:rPr>
      </w:pPr>
      <w:r w:rsidRPr="00021B20">
        <w:rPr>
          <w:rFonts w:ascii="Courier New" w:hAnsi="Courier New"/>
          <w:noProof w:val="0"/>
        </w:rPr>
        <w:t>C.  Expenses of the survey and report shall be a charge against the district.</w:t>
      </w:r>
    </w:p>
    <w:p w14:paraId="6A56AD44" w14:textId="77777777" w:rsidR="00CF3F74" w:rsidRPr="00021B20" w:rsidRDefault="00CF3F74">
      <w:pPr>
        <w:pStyle w:val="P06-00"/>
        <w:rPr>
          <w:rFonts w:ascii="Courier New" w:hAnsi="Courier New"/>
          <w:noProof w:val="0"/>
        </w:rPr>
      </w:pPr>
      <w:r w:rsidRPr="00021B20">
        <w:rPr>
          <w:rFonts w:ascii="Courier New" w:hAnsi="Courier New"/>
          <w:noProof w:val="0"/>
        </w:rPr>
        <w:t xml:space="preserve">D.  The department shall review the survey and report and provide the board of directors with written comments within thirty days of receiving the report. </w:t>
      </w:r>
      <w:r w:rsidR="00B731E1" w:rsidRPr="00021B20">
        <w:rPr>
          <w:rFonts w:ascii="Courier New" w:hAnsi="Courier New"/>
          <w:vanish/>
        </w:rPr>
        <w:fldChar w:fldCharType="begin"/>
      </w:r>
      <w:r w:rsidR="00B731E1" w:rsidRPr="00021B20">
        <w:rPr>
          <w:rFonts w:ascii="Courier New" w:hAnsi="Courier New"/>
          <w:vanish/>
        </w:rPr>
        <w:instrText xml:space="preserve"> COMMENTS END_STATUTE \* MERGEFORMAT </w:instrText>
      </w:r>
      <w:r w:rsidR="00B731E1" w:rsidRPr="00021B20">
        <w:rPr>
          <w:rFonts w:ascii="Courier New" w:hAnsi="Courier New"/>
          <w:vanish/>
        </w:rPr>
        <w:fldChar w:fldCharType="separate"/>
      </w:r>
      <w:r w:rsidR="00B731E1" w:rsidRPr="00021B20">
        <w:rPr>
          <w:rFonts w:ascii="Courier New" w:hAnsi="Courier New"/>
          <w:vanish/>
        </w:rPr>
        <w:t>END_STATUTE</w:t>
      </w:r>
      <w:r w:rsidR="00B731E1" w:rsidRPr="00021B20">
        <w:rPr>
          <w:rFonts w:ascii="Courier New" w:hAnsi="Courier New"/>
          <w:vanish/>
        </w:rPr>
        <w:fldChar w:fldCharType="end"/>
      </w:r>
    </w:p>
    <w:sectPr w:rsidR="00CF3F74" w:rsidRPr="00021B20">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3DC4E" w14:textId="77777777" w:rsidR="00CF3F74" w:rsidRDefault="00CF3F74">
      <w:r>
        <w:separator/>
      </w:r>
    </w:p>
  </w:endnote>
  <w:endnote w:type="continuationSeparator" w:id="0">
    <w:p w14:paraId="3051CD81" w14:textId="77777777" w:rsidR="00CF3F74" w:rsidRDefault="00CF3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9D3CF" w14:textId="77777777" w:rsidR="00CF3F74" w:rsidRDefault="00CF3F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F1F8C" w14:textId="77777777" w:rsidR="00CF3F74" w:rsidRDefault="00CF3F74">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81D02" w14:textId="77777777" w:rsidR="00CF3F74" w:rsidRDefault="00CF3F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1E9B0" w14:textId="77777777" w:rsidR="00CF3F74" w:rsidRDefault="00CF3F74">
      <w:r>
        <w:separator/>
      </w:r>
    </w:p>
  </w:footnote>
  <w:footnote w:type="continuationSeparator" w:id="0">
    <w:p w14:paraId="66D0BF0B" w14:textId="77777777" w:rsidR="00CF3F74" w:rsidRDefault="00CF3F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20F79" w14:textId="77777777" w:rsidR="00CF3F74" w:rsidRDefault="00CF3F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E1C76" w14:textId="77777777" w:rsidR="00CF3F74" w:rsidRDefault="00CF3F74">
    <w:pPr>
      <w:pStyle w:val="Header"/>
    </w:pPr>
  </w:p>
  <w:p w14:paraId="3F368C78" w14:textId="77777777" w:rsidR="00CF3F74" w:rsidRDefault="00CF3F74">
    <w:pPr>
      <w:pStyle w:val="Header"/>
    </w:pPr>
  </w:p>
  <w:p w14:paraId="2AB7BAE0" w14:textId="77777777" w:rsidR="00CF3F74" w:rsidRDefault="00CF3F74">
    <w:pPr>
      <w:pStyle w:val="Header"/>
    </w:pPr>
  </w:p>
  <w:p w14:paraId="6588F0B3" w14:textId="77777777" w:rsidR="00CF3F74" w:rsidRDefault="00CF3F74">
    <w:pPr>
      <w:pStyle w:val="Header"/>
    </w:pPr>
  </w:p>
  <w:p w14:paraId="5186EE40" w14:textId="77777777" w:rsidR="00CF3F74" w:rsidRDefault="00CF3F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71DC2" w14:textId="77777777" w:rsidR="00CF3F74" w:rsidRDefault="00CF3F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1E1"/>
    <w:rsid w:val="00021B20"/>
    <w:rsid w:val="00B731E1"/>
    <w:rsid w:val="00CF3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095C0D7"/>
  <w15:chartTrackingRefBased/>
  <w15:docId w15:val="{AD774928-91F2-4750-9D8D-59AC7D6DD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323</Words>
  <Characters>1687</Characters>
  <Application>Microsoft Office Word</Application>
  <DocSecurity>0</DocSecurity>
  <Lines>37</Lines>
  <Paragraphs>18</Paragraphs>
  <ScaleCrop>false</ScaleCrop>
  <HeadingPairs>
    <vt:vector size="2" baseType="variant">
      <vt:variant>
        <vt:lpstr>Title</vt:lpstr>
      </vt:variant>
      <vt:variant>
        <vt:i4>1</vt:i4>
      </vt:variant>
    </vt:vector>
  </HeadingPairs>
  <TitlesOfParts>
    <vt:vector size="1" baseType="lpstr">
      <vt:lpstr>48-2210</vt:lpstr>
    </vt:vector>
  </TitlesOfParts>
  <Company>LCS</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48-2210; Health services survey and report; review by department</dc:title>
  <dc:subject>Health services survey and report; review by department</dc:subject>
  <dc:creator>Arizona Legislative Council</dc:creator>
  <cp:keywords/>
  <dc:description>48_x001e_2210</dc:description>
  <cp:lastModifiedBy>dbupdate</cp:lastModifiedBy>
  <cp:revision>2</cp:revision>
  <cp:lastPrinted>1999-03-22T18:35:00Z</cp:lastPrinted>
  <dcterms:created xsi:type="dcterms:W3CDTF">2025-09-21T15:40:00Z</dcterms:created>
  <dcterms:modified xsi:type="dcterms:W3CDTF">2025-09-21T15:40:00Z</dcterms:modified>
</cp:coreProperties>
</file>