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7601FA" w14:textId="77777777" w:rsidR="009E5C95" w:rsidRPr="00210252" w:rsidRDefault="009E5C95" w:rsidP="009E5C95">
      <w:pPr>
        <w:pStyle w:val="SEC06-19"/>
        <w:rPr>
          <w:rFonts w:ascii="Courier New" w:hAnsi="Courier New"/>
        </w:rPr>
      </w:pPr>
      <w:r w:rsidRPr="00210252">
        <w:rPr>
          <w:rFonts w:ascii="Courier New" w:hAnsi="Courier New"/>
          <w:vanish/>
        </w:rPr>
        <w:fldChar w:fldCharType="begin"/>
      </w:r>
      <w:r w:rsidRPr="00210252">
        <w:rPr>
          <w:rFonts w:ascii="Courier New" w:hAnsi="Courier New"/>
          <w:vanish/>
        </w:rPr>
        <w:instrText xml:space="preserve"> COMMENTS START_STATUTE \* MERGEFORMAT </w:instrText>
      </w:r>
      <w:r w:rsidRPr="00210252">
        <w:rPr>
          <w:rFonts w:ascii="Courier New" w:hAnsi="Courier New"/>
          <w:vanish/>
        </w:rPr>
        <w:fldChar w:fldCharType="separate"/>
      </w:r>
      <w:r w:rsidRPr="00210252">
        <w:rPr>
          <w:rFonts w:ascii="Courier New" w:hAnsi="Courier New"/>
          <w:vanish/>
        </w:rPr>
        <w:t>START_STATUTE</w:t>
      </w:r>
      <w:r w:rsidRPr="00210252">
        <w:rPr>
          <w:rFonts w:ascii="Courier New" w:hAnsi="Courier New"/>
          <w:vanish/>
        </w:rPr>
        <w:fldChar w:fldCharType="end"/>
      </w:r>
      <w:r w:rsidRPr="00210252">
        <w:rPr>
          <w:rStyle w:val="SNUM"/>
          <w:rFonts w:ascii="Courier New" w:hAnsi="Courier New"/>
        </w:rPr>
        <w:t>42-12053</w:t>
      </w:r>
      <w:r w:rsidRPr="00210252">
        <w:rPr>
          <w:rFonts w:ascii="Courier New" w:hAnsi="Courier New"/>
        </w:rPr>
        <w:t>.  </w:t>
      </w:r>
      <w:r w:rsidRPr="00210252">
        <w:rPr>
          <w:rStyle w:val="SECHEAD"/>
          <w:rFonts w:ascii="Courier New" w:hAnsi="Courier New"/>
        </w:rPr>
        <w:t>Criteria for distinguishing primary residential property, secondary residential property and rental property</w:t>
      </w:r>
    </w:p>
    <w:p w14:paraId="2F369E4D" w14:textId="77777777" w:rsidR="009E5C95" w:rsidRPr="00210252" w:rsidRDefault="009E5C95" w:rsidP="009E5C95">
      <w:pPr>
        <w:pStyle w:val="P06-00"/>
        <w:rPr>
          <w:rFonts w:ascii="Courier New" w:hAnsi="Courier New"/>
        </w:rPr>
      </w:pPr>
      <w:r w:rsidRPr="00210252">
        <w:rPr>
          <w:rFonts w:ascii="Courier New" w:hAnsi="Courier New"/>
        </w:rPr>
        <w:t>A.  For the purpose of classifying residential property under sections 42</w:t>
      </w:r>
      <w:r w:rsidRPr="00210252">
        <w:rPr>
          <w:rFonts w:ascii="Courier New" w:hAnsi="Courier New"/>
        </w:rPr>
        <w:noBreakHyphen/>
        <w:t>12003, 42</w:t>
      </w:r>
      <w:r w:rsidRPr="00210252">
        <w:rPr>
          <w:rFonts w:ascii="Courier New" w:hAnsi="Courier New"/>
        </w:rPr>
        <w:noBreakHyphen/>
        <w:t>12004 and 42</w:t>
      </w:r>
      <w:r w:rsidRPr="00210252">
        <w:rPr>
          <w:rFonts w:ascii="Courier New" w:hAnsi="Courier New"/>
        </w:rPr>
        <w:noBreakHyphen/>
        <w:t>12052, a parcel is not considered a secondary property or rental property if the property is occupied by a member of the owner's family, who must be:</w:t>
      </w:r>
    </w:p>
    <w:p w14:paraId="5D63CF94" w14:textId="77777777" w:rsidR="009E5C95" w:rsidRPr="00210252" w:rsidRDefault="009E5C95" w:rsidP="009E5C95">
      <w:pPr>
        <w:pStyle w:val="P06-00"/>
        <w:rPr>
          <w:rFonts w:ascii="Courier New" w:hAnsi="Courier New"/>
        </w:rPr>
      </w:pPr>
      <w:r w:rsidRPr="00210252">
        <w:rPr>
          <w:rFonts w:ascii="Courier New" w:hAnsi="Courier New"/>
        </w:rPr>
        <w:t>1.  The owner's natural or adopted child or a descendant of the owner's child.</w:t>
      </w:r>
    </w:p>
    <w:p w14:paraId="591F5846" w14:textId="77777777" w:rsidR="009E5C95" w:rsidRPr="00210252" w:rsidRDefault="009E5C95" w:rsidP="009E5C95">
      <w:pPr>
        <w:pStyle w:val="P06-00"/>
        <w:rPr>
          <w:rFonts w:ascii="Courier New" w:hAnsi="Courier New"/>
        </w:rPr>
      </w:pPr>
      <w:r w:rsidRPr="00210252">
        <w:rPr>
          <w:rFonts w:ascii="Courier New" w:hAnsi="Courier New"/>
        </w:rPr>
        <w:t>2.  The owner's parent or an ancestor of the owner's parent.</w:t>
      </w:r>
    </w:p>
    <w:p w14:paraId="228A6AC5" w14:textId="77777777" w:rsidR="009E5C95" w:rsidRPr="00210252" w:rsidRDefault="009E5C95" w:rsidP="009E5C95">
      <w:pPr>
        <w:pStyle w:val="P06-00"/>
        <w:rPr>
          <w:rFonts w:ascii="Courier New" w:hAnsi="Courier New"/>
        </w:rPr>
      </w:pPr>
      <w:r w:rsidRPr="00210252">
        <w:rPr>
          <w:rFonts w:ascii="Courier New" w:hAnsi="Courier New"/>
        </w:rPr>
        <w:t>3.  The owner's stepchild or stepparent.</w:t>
      </w:r>
    </w:p>
    <w:p w14:paraId="332ECC47" w14:textId="77777777" w:rsidR="009E5C95" w:rsidRPr="00210252" w:rsidRDefault="009E5C95" w:rsidP="009E5C95">
      <w:pPr>
        <w:pStyle w:val="P06-00"/>
        <w:rPr>
          <w:rFonts w:ascii="Courier New" w:hAnsi="Courier New"/>
        </w:rPr>
      </w:pPr>
      <w:r w:rsidRPr="00210252">
        <w:rPr>
          <w:rFonts w:ascii="Courier New" w:hAnsi="Courier New"/>
        </w:rPr>
        <w:t>4.  The owner's child-in-law or parent-in-law.</w:t>
      </w:r>
    </w:p>
    <w:p w14:paraId="255F88ED" w14:textId="77777777" w:rsidR="009E5C95" w:rsidRPr="00210252" w:rsidRDefault="009E5C95" w:rsidP="009E5C95">
      <w:pPr>
        <w:pStyle w:val="P06-00"/>
        <w:rPr>
          <w:rFonts w:ascii="Courier New" w:hAnsi="Courier New"/>
        </w:rPr>
      </w:pPr>
      <w:r w:rsidRPr="00210252">
        <w:rPr>
          <w:rFonts w:ascii="Courier New" w:hAnsi="Courier New"/>
        </w:rPr>
        <w:t>5.  The owner's natural or adopted sibling.</w:t>
      </w:r>
    </w:p>
    <w:p w14:paraId="5D14AA5D" w14:textId="77777777" w:rsidR="009E5C95" w:rsidRPr="00210252" w:rsidRDefault="009E5C95" w:rsidP="009E5C95">
      <w:pPr>
        <w:pStyle w:val="P06-00"/>
        <w:rPr>
          <w:rFonts w:ascii="Courier New" w:hAnsi="Courier New"/>
        </w:rPr>
      </w:pPr>
      <w:r w:rsidRPr="00210252">
        <w:rPr>
          <w:rFonts w:ascii="Courier New" w:hAnsi="Courier New"/>
        </w:rPr>
        <w:t>B.  For the purpose of classifying owner-occupied residential property under sections 42</w:t>
      </w:r>
      <w:r w:rsidRPr="00210252">
        <w:rPr>
          <w:rFonts w:ascii="Courier New" w:hAnsi="Courier New"/>
        </w:rPr>
        <w:noBreakHyphen/>
        <w:t>12003, 42</w:t>
      </w:r>
      <w:r w:rsidRPr="00210252">
        <w:rPr>
          <w:rFonts w:ascii="Courier New" w:hAnsi="Courier New"/>
        </w:rPr>
        <w:noBreakHyphen/>
        <w:t>12004 and 42</w:t>
      </w:r>
      <w:r w:rsidRPr="00210252">
        <w:rPr>
          <w:rFonts w:ascii="Courier New" w:hAnsi="Courier New"/>
        </w:rPr>
        <w:noBreakHyphen/>
        <w:t>12052, the department shall adopt standard criteria for use in determining whether the property is considered to be the owner's or relative's primary residence, including:</w:t>
      </w:r>
    </w:p>
    <w:p w14:paraId="7CD88973" w14:textId="77777777" w:rsidR="009E5C95" w:rsidRPr="00210252" w:rsidRDefault="009E5C95" w:rsidP="009E5C95">
      <w:pPr>
        <w:pStyle w:val="P06-00"/>
        <w:rPr>
          <w:rFonts w:ascii="Courier New" w:hAnsi="Courier New"/>
        </w:rPr>
      </w:pPr>
      <w:r w:rsidRPr="00210252">
        <w:rPr>
          <w:rFonts w:ascii="Courier New" w:hAnsi="Courier New"/>
        </w:rPr>
        <w:t>1.  The period of occupancy each year.</w:t>
      </w:r>
    </w:p>
    <w:p w14:paraId="1A1DEE8D" w14:textId="77777777" w:rsidR="009E5C95" w:rsidRPr="00210252" w:rsidRDefault="009E5C95" w:rsidP="009E5C95">
      <w:pPr>
        <w:pStyle w:val="P06-00"/>
        <w:rPr>
          <w:rFonts w:ascii="Courier New" w:hAnsi="Courier New"/>
        </w:rPr>
      </w:pPr>
      <w:r w:rsidRPr="00210252">
        <w:rPr>
          <w:rFonts w:ascii="Courier New" w:hAnsi="Courier New"/>
        </w:rPr>
        <w:t>2.  The owner's registered voting precinct.</w:t>
      </w:r>
    </w:p>
    <w:p w14:paraId="09554EC0" w14:textId="77777777" w:rsidR="009E5C95" w:rsidRPr="00210252" w:rsidRDefault="009E5C95" w:rsidP="009E5C95">
      <w:pPr>
        <w:pStyle w:val="P06-00"/>
        <w:rPr>
          <w:rFonts w:ascii="Courier New" w:hAnsi="Courier New"/>
        </w:rPr>
      </w:pPr>
      <w:r w:rsidRPr="00210252">
        <w:rPr>
          <w:rFonts w:ascii="Courier New" w:hAnsi="Courier New"/>
        </w:rPr>
        <w:t>3.  The owner's driver license address.</w:t>
      </w:r>
    </w:p>
    <w:p w14:paraId="28BABFB8" w14:textId="77777777" w:rsidR="009E5C95" w:rsidRPr="00210252" w:rsidRDefault="009E5C95" w:rsidP="009E5C95">
      <w:pPr>
        <w:pStyle w:val="P06-00"/>
        <w:rPr>
          <w:rFonts w:ascii="Courier New" w:hAnsi="Courier New"/>
        </w:rPr>
      </w:pPr>
      <w:r w:rsidRPr="00210252">
        <w:rPr>
          <w:rFonts w:ascii="Courier New" w:hAnsi="Courier New"/>
        </w:rPr>
        <w:t>4.  The registration address of the owner's motor vehicles.</w:t>
      </w:r>
    </w:p>
    <w:p w14:paraId="1F59B084" w14:textId="77777777" w:rsidR="009E5C95" w:rsidRPr="00210252" w:rsidRDefault="009E5C95" w:rsidP="009E5C95">
      <w:pPr>
        <w:pStyle w:val="P06-00"/>
        <w:rPr>
          <w:rFonts w:ascii="Courier New" w:hAnsi="Courier New"/>
        </w:rPr>
      </w:pPr>
      <w:r w:rsidRPr="00210252">
        <w:rPr>
          <w:rFonts w:ascii="Courier New" w:hAnsi="Courier New"/>
        </w:rPr>
        <w:t xml:space="preserve">5.  Other appropriate indicators of primary residency. </w:t>
      </w:r>
      <w:r w:rsidRPr="00210252">
        <w:rPr>
          <w:rFonts w:ascii="Courier New" w:hAnsi="Courier New"/>
          <w:vanish/>
        </w:rPr>
        <w:fldChar w:fldCharType="begin"/>
      </w:r>
      <w:r w:rsidRPr="00210252">
        <w:rPr>
          <w:rFonts w:ascii="Courier New" w:hAnsi="Courier New"/>
          <w:vanish/>
        </w:rPr>
        <w:instrText xml:space="preserve"> COMMENTS END_STATUTE \* MERGEFORMAT </w:instrText>
      </w:r>
      <w:r w:rsidRPr="00210252">
        <w:rPr>
          <w:rFonts w:ascii="Courier New" w:hAnsi="Courier New"/>
          <w:vanish/>
        </w:rPr>
        <w:fldChar w:fldCharType="separate"/>
      </w:r>
      <w:r w:rsidRPr="00210252">
        <w:rPr>
          <w:rFonts w:ascii="Courier New" w:hAnsi="Courier New"/>
          <w:vanish/>
        </w:rPr>
        <w:t>END_STATUTE</w:t>
      </w:r>
      <w:r w:rsidRPr="00210252">
        <w:rPr>
          <w:rFonts w:ascii="Courier New" w:hAnsi="Courier New"/>
          <w:vanish/>
        </w:rPr>
        <w:fldChar w:fldCharType="end"/>
      </w:r>
    </w:p>
    <w:p w14:paraId="4ED5740C" w14:textId="77777777" w:rsidR="009E5C95" w:rsidRPr="00210252" w:rsidRDefault="009E5C95" w:rsidP="009E5C95">
      <w:pPr>
        <w:rPr>
          <w:rFonts w:ascii="Courier New" w:hAnsi="Courier New"/>
        </w:rPr>
      </w:pPr>
    </w:p>
    <w:sectPr w:rsidR="009E5C95" w:rsidRPr="00210252" w:rsidSect="009E5C95">
      <w:type w:val="continuous"/>
      <w:pgSz w:w="12240" w:h="15840"/>
      <w:pgMar w:top="1440" w:right="1440" w:bottom="1440" w:left="1872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109E16" w14:textId="77777777" w:rsidR="00666021" w:rsidRDefault="00666021">
      <w:r>
        <w:separator/>
      </w:r>
    </w:p>
  </w:endnote>
  <w:endnote w:type="continuationSeparator" w:id="0">
    <w:p w14:paraId="34BE761A" w14:textId="77777777" w:rsidR="00666021" w:rsidRDefault="006660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tter-Gothic-Drafting">
    <w:panose1 w:val="00000000000000000000"/>
    <w:charset w:val="00"/>
    <w:family w:val="modern"/>
    <w:notTrueType/>
    <w:pitch w:val="variable"/>
    <w:sig w:usb0="8000002F" w:usb1="4000004A" w:usb2="00000000" w:usb3="00000000" w:csb0="00000001" w:csb1="00000000"/>
  </w:font>
  <w:font w:name="Letter-Gothic-Upper-Drafting">
    <w:panose1 w:val="00000000000000000000"/>
    <w:charset w:val="00"/>
    <w:family w:val="modern"/>
    <w:notTrueType/>
    <w:pitch w:val="variable"/>
    <w:sig w:usb0="8000002F" w:usb1="4000004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C7026D" w14:textId="77777777" w:rsidR="00666021" w:rsidRDefault="00666021">
      <w:r>
        <w:separator/>
      </w:r>
    </w:p>
  </w:footnote>
  <w:footnote w:type="continuationSeparator" w:id="0">
    <w:p w14:paraId="58846EE5" w14:textId="77777777" w:rsidR="00666021" w:rsidRDefault="006660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D61A2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FFFFFF88"/>
    <w:multiLevelType w:val="singleLevel"/>
    <w:tmpl w:val="65E21F3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349990139">
    <w:abstractNumId w:val="1"/>
  </w:num>
  <w:num w:numId="2" w16cid:durableId="449007451">
    <w:abstractNumId w:val="1"/>
  </w:num>
  <w:num w:numId="3" w16cid:durableId="680359280">
    <w:abstractNumId w:val="0"/>
  </w:num>
  <w:num w:numId="4" w16cid:durableId="3304980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5C95"/>
    <w:rsid w:val="000A2CEA"/>
    <w:rsid w:val="00210252"/>
    <w:rsid w:val="00411DB7"/>
    <w:rsid w:val="00666021"/>
    <w:rsid w:val="009E5C95"/>
    <w:rsid w:val="00CE4E65"/>
    <w:rsid w:val="00F54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5F56B0F"/>
  <w15:chartTrackingRefBased/>
  <w15:docId w15:val="{6891FD66-C2A6-430B-9682-1BED56AB9F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rFonts w:ascii="Letter-Gothic-Drafting" w:hAnsi="Letter-Gothic-Drafting"/>
      <w:b/>
      <w:snapToGrid w:val="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NoList">
    <w:name w:val="No List"/>
    <w:semiHidden/>
  </w:style>
  <w:style w:type="character" w:customStyle="1" w:styleId="AGENCY">
    <w:name w:val="AGENCY"/>
    <w:basedOn w:val="DefaultParagraphFont"/>
    <w:rPr>
      <w:noProof w:val="0"/>
      <w:lang w:val="en-US"/>
    </w:rPr>
  </w:style>
  <w:style w:type="paragraph" w:customStyle="1" w:styleId="BLK00-00">
    <w:name w:val="BLK 00-00"/>
    <w:basedOn w:val="Normal"/>
    <w:pPr>
      <w:widowControl/>
      <w:ind w:right="720"/>
    </w:pPr>
  </w:style>
  <w:style w:type="paragraph" w:customStyle="1" w:styleId="BLK06-00">
    <w:name w:val="BLK 06-00"/>
    <w:basedOn w:val="Normal"/>
    <w:pPr>
      <w:widowControl/>
      <w:ind w:right="720" w:firstLine="720"/>
    </w:pPr>
  </w:style>
  <w:style w:type="paragraph" w:customStyle="1" w:styleId="BLK06-06">
    <w:name w:val="BLK 06-06"/>
    <w:basedOn w:val="Normal"/>
    <w:pPr>
      <w:ind w:left="720" w:right="720"/>
    </w:pPr>
  </w:style>
  <w:style w:type="paragraph" w:customStyle="1" w:styleId="BLK06-12">
    <w:name w:val="BLK 06-12"/>
    <w:basedOn w:val="Normal"/>
    <w:pPr>
      <w:widowControl/>
      <w:ind w:left="1440" w:right="720" w:hanging="720"/>
    </w:pPr>
  </w:style>
  <w:style w:type="paragraph" w:customStyle="1" w:styleId="BLK06-14">
    <w:name w:val="BLK 06-14"/>
    <w:basedOn w:val="Normal"/>
    <w:pPr>
      <w:widowControl/>
      <w:ind w:left="1685" w:right="720" w:hanging="965"/>
    </w:pPr>
  </w:style>
  <w:style w:type="paragraph" w:customStyle="1" w:styleId="BLK06-17">
    <w:name w:val="BLK 06-17"/>
    <w:basedOn w:val="Normal"/>
    <w:pPr>
      <w:widowControl/>
      <w:ind w:left="2040" w:right="720" w:hanging="1320"/>
    </w:pPr>
  </w:style>
  <w:style w:type="paragraph" w:customStyle="1" w:styleId="BLK06-18">
    <w:name w:val="BLK 06-18"/>
    <w:basedOn w:val="Normal"/>
    <w:pPr>
      <w:widowControl/>
      <w:ind w:left="2160" w:right="720" w:hanging="1440"/>
    </w:pPr>
  </w:style>
  <w:style w:type="paragraph" w:customStyle="1" w:styleId="BLK06-19">
    <w:name w:val="BLK 06-19"/>
    <w:basedOn w:val="Normal"/>
    <w:pPr>
      <w:widowControl/>
      <w:ind w:left="2275" w:right="720" w:hanging="1555"/>
    </w:pPr>
  </w:style>
  <w:style w:type="paragraph" w:customStyle="1" w:styleId="BLK06-20">
    <w:name w:val="BLK 06-20"/>
    <w:basedOn w:val="Normal"/>
    <w:pPr>
      <w:widowControl/>
      <w:ind w:left="2405" w:right="720" w:hanging="1685"/>
    </w:pPr>
  </w:style>
  <w:style w:type="paragraph" w:customStyle="1" w:styleId="BLK06-21">
    <w:name w:val="BLK 06-21"/>
    <w:basedOn w:val="Normal"/>
    <w:pPr>
      <w:ind w:left="2520" w:right="720" w:hanging="1800"/>
    </w:pPr>
  </w:style>
  <w:style w:type="paragraph" w:customStyle="1" w:styleId="BLK11-06">
    <w:name w:val="BLK 11-06"/>
    <w:basedOn w:val="Normal"/>
    <w:pPr>
      <w:widowControl/>
      <w:ind w:left="720" w:right="720" w:firstLine="605"/>
    </w:pPr>
  </w:style>
  <w:style w:type="paragraph" w:customStyle="1" w:styleId="BLK12-06">
    <w:name w:val="BLK 12-06"/>
    <w:basedOn w:val="Normal"/>
    <w:pPr>
      <w:widowControl/>
      <w:ind w:left="720" w:right="720" w:firstLine="720"/>
    </w:pPr>
  </w:style>
  <w:style w:type="paragraph" w:customStyle="1" w:styleId="BLK12-24">
    <w:name w:val="BLK 12-24"/>
    <w:basedOn w:val="Normal"/>
    <w:pPr>
      <w:widowControl/>
      <w:ind w:left="2880" w:right="720" w:hanging="1440"/>
    </w:pPr>
  </w:style>
  <w:style w:type="paragraph" w:customStyle="1" w:styleId="BLK12-27">
    <w:name w:val="BLK 12-27"/>
    <w:basedOn w:val="Normal"/>
    <w:pPr>
      <w:widowControl/>
      <w:ind w:left="3240" w:right="720" w:hanging="1800"/>
    </w:pPr>
  </w:style>
  <w:style w:type="paragraph" w:customStyle="1" w:styleId="BLK18-12">
    <w:name w:val="BLK 18-12"/>
    <w:basedOn w:val="Normal"/>
    <w:pPr>
      <w:widowControl/>
      <w:ind w:left="1440" w:right="1440" w:firstLine="720"/>
    </w:pPr>
  </w:style>
  <w:style w:type="paragraph" w:customStyle="1" w:styleId="BLK18-30">
    <w:name w:val="BLK 18-30"/>
    <w:basedOn w:val="Normal"/>
    <w:pPr>
      <w:widowControl/>
      <w:ind w:left="4320" w:right="720" w:hanging="2160"/>
    </w:pPr>
  </w:style>
  <w:style w:type="paragraph" w:customStyle="1" w:styleId="BLK35-35">
    <w:name w:val="BLK 35-35"/>
    <w:basedOn w:val="Normal"/>
    <w:pPr>
      <w:widowControl/>
      <w:ind w:left="4205" w:right="720"/>
    </w:pPr>
  </w:style>
  <w:style w:type="paragraph" w:styleId="BlockText">
    <w:name w:val="Block Text"/>
    <w:basedOn w:val="Normal"/>
    <w:pPr>
      <w:widowControl/>
      <w:tabs>
        <w:tab w:val="left" w:pos="0"/>
        <w:tab w:val="left" w:pos="720"/>
        <w:tab w:val="left" w:pos="1440"/>
      </w:tabs>
      <w:ind w:left="720" w:right="720" w:firstLine="720"/>
    </w:pPr>
    <w:rPr>
      <w:rFonts w:ascii="Letter-Gothic-Upper-Drafting" w:hAnsi="Letter-Gothic-Upper-Drafting"/>
    </w:rPr>
  </w:style>
  <w:style w:type="character" w:customStyle="1" w:styleId="BNUM">
    <w:name w:val="BNUM"/>
    <w:basedOn w:val="DefaultParagraphFont"/>
    <w:rPr>
      <w:rFonts w:ascii="Arial" w:hAnsi="Arial"/>
      <w:sz w:val="48"/>
    </w:rPr>
  </w:style>
  <w:style w:type="paragraph" w:styleId="BodyText">
    <w:name w:val="Body Text"/>
    <w:basedOn w:val="Normal"/>
    <w:pPr>
      <w:widowControl/>
      <w:suppressLineNumbers/>
    </w:pPr>
  </w:style>
  <w:style w:type="paragraph" w:styleId="BodyTextIndent">
    <w:name w:val="Body Text Indent"/>
    <w:basedOn w:val="Normal"/>
    <w:pPr>
      <w:widowControl/>
      <w:tabs>
        <w:tab w:val="left" w:pos="0"/>
        <w:tab w:val="left" w:pos="720"/>
      </w:tabs>
      <w:ind w:firstLine="720"/>
    </w:pPr>
  </w:style>
  <w:style w:type="character" w:styleId="CommentReference">
    <w:name w:val="annotation reference"/>
    <w:basedOn w:val="DefaultParagraphFont"/>
    <w:semiHidden/>
    <w:rPr>
      <w:sz w:val="16"/>
    </w:rPr>
  </w:style>
  <w:style w:type="paragraph" w:styleId="CommentText">
    <w:name w:val="annotation text"/>
    <w:basedOn w:val="Normal"/>
    <w:semiHidden/>
  </w:style>
  <w:style w:type="paragraph" w:customStyle="1" w:styleId="CON12-06">
    <w:name w:val="CON 12-06"/>
    <w:basedOn w:val="Normal"/>
    <w:pPr>
      <w:widowControl/>
      <w:ind w:left="720" w:right="720" w:firstLine="720"/>
    </w:pPr>
  </w:style>
  <w:style w:type="paragraph" w:customStyle="1" w:styleId="CON12-18">
    <w:name w:val="CON 12-18"/>
    <w:basedOn w:val="Normal"/>
    <w:pPr>
      <w:widowControl/>
      <w:ind w:left="2160" w:right="720" w:hanging="720"/>
    </w:pPr>
  </w:style>
  <w:style w:type="paragraph" w:customStyle="1" w:styleId="CON12-19">
    <w:name w:val="CON 12-19"/>
    <w:basedOn w:val="Normal"/>
    <w:pPr>
      <w:widowControl/>
      <w:ind w:left="2275" w:right="720" w:hanging="835"/>
    </w:pPr>
  </w:style>
  <w:style w:type="paragraph" w:customStyle="1" w:styleId="CON12-20">
    <w:name w:val="CON 12-20"/>
    <w:basedOn w:val="Normal"/>
    <w:pPr>
      <w:widowControl/>
      <w:ind w:left="2405" w:right="720" w:hanging="965"/>
    </w:pPr>
  </w:style>
  <w:style w:type="paragraph" w:customStyle="1" w:styleId="CON12-22">
    <w:name w:val="CON 12-22"/>
    <w:basedOn w:val="Normal"/>
    <w:pPr>
      <w:widowControl/>
      <w:ind w:left="2635" w:right="720" w:hanging="1195"/>
    </w:pPr>
  </w:style>
  <w:style w:type="paragraph" w:customStyle="1" w:styleId="CON12-23">
    <w:name w:val="CON 12-23"/>
    <w:basedOn w:val="Normal"/>
    <w:pPr>
      <w:widowControl/>
      <w:ind w:left="2765" w:right="720" w:hanging="1325"/>
    </w:pPr>
  </w:style>
  <w:style w:type="paragraph" w:customStyle="1" w:styleId="CON12-24">
    <w:name w:val="CON 12-24"/>
    <w:basedOn w:val="Normal"/>
    <w:pPr>
      <w:widowControl/>
      <w:ind w:left="2880" w:right="720" w:hanging="1440"/>
    </w:pPr>
  </w:style>
  <w:style w:type="paragraph" w:customStyle="1" w:styleId="CON12-25">
    <w:name w:val="CON 12-25"/>
    <w:basedOn w:val="Normal"/>
    <w:pPr>
      <w:widowControl/>
      <w:ind w:left="2995" w:right="720" w:hanging="1555"/>
    </w:pPr>
  </w:style>
  <w:style w:type="paragraph" w:customStyle="1" w:styleId="CON12-26">
    <w:name w:val="CON 12-26"/>
    <w:basedOn w:val="Normal"/>
    <w:pPr>
      <w:widowControl/>
      <w:ind w:left="3125" w:right="720" w:hanging="1685"/>
    </w:pPr>
  </w:style>
  <w:style w:type="paragraph" w:customStyle="1" w:styleId="CON12-27">
    <w:name w:val="CON 12-27"/>
    <w:basedOn w:val="Normal"/>
    <w:pPr>
      <w:widowControl/>
      <w:ind w:left="3240" w:right="720" w:hanging="1800"/>
    </w:p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FootnoteReference">
    <w:name w:val="footnote reference"/>
    <w:semiHidden/>
  </w:style>
  <w:style w:type="paragraph" w:styleId="Header">
    <w:name w:val="header"/>
    <w:basedOn w:val="Normal"/>
  </w:style>
  <w:style w:type="character" w:customStyle="1" w:styleId="INTRO">
    <w:name w:val="INTRO"/>
    <w:basedOn w:val="DefaultParagraphFont"/>
    <w:rPr>
      <w:noProof w:val="0"/>
      <w:lang w:val="en-US"/>
    </w:rPr>
  </w:style>
  <w:style w:type="paragraph" w:customStyle="1" w:styleId="JUSTIFYCENTER">
    <w:name w:val="JUSTIFY CENTER"/>
    <w:basedOn w:val="Normal"/>
    <w:pPr>
      <w:widowControl/>
      <w:jc w:val="center"/>
    </w:pPr>
  </w:style>
  <w:style w:type="paragraph" w:customStyle="1" w:styleId="JUSTIFYFULL">
    <w:name w:val="JUSTIFY FULL"/>
    <w:basedOn w:val="Normal"/>
  </w:style>
  <w:style w:type="paragraph" w:customStyle="1" w:styleId="JUSTIFYRIGHT">
    <w:name w:val="JUSTIFY RIGHT"/>
    <w:basedOn w:val="Normal"/>
    <w:pPr>
      <w:widowControl/>
      <w:jc w:val="right"/>
    </w:pPr>
  </w:style>
  <w:style w:type="character" w:styleId="LineNumber">
    <w:name w:val="line number"/>
    <w:basedOn w:val="DefaultParagraphFont"/>
  </w:style>
  <w:style w:type="character" w:customStyle="1" w:styleId="O">
    <w:name w:val="O"/>
    <w:basedOn w:val="DefaultParagraphFont"/>
    <w:rPr>
      <w:strike/>
      <w:dstrike w:val="0"/>
      <w:noProof w:val="0"/>
      <w:color w:val="FF0000"/>
      <w:lang w:val="en-US"/>
    </w:rPr>
  </w:style>
  <w:style w:type="paragraph" w:customStyle="1" w:styleId="P00-00">
    <w:name w:val="P 00-00"/>
    <w:basedOn w:val="Normal"/>
    <w:pPr>
      <w:widowControl/>
    </w:pPr>
  </w:style>
  <w:style w:type="paragraph" w:customStyle="1" w:styleId="P00-06">
    <w:name w:val="P 00-06"/>
    <w:basedOn w:val="Normal"/>
    <w:pPr>
      <w:widowControl/>
      <w:ind w:left="720" w:hanging="720"/>
    </w:pPr>
  </w:style>
  <w:style w:type="paragraph" w:customStyle="1" w:styleId="P03-06">
    <w:name w:val="P 03-06"/>
    <w:basedOn w:val="Normal"/>
    <w:pPr>
      <w:widowControl/>
      <w:ind w:left="720" w:hanging="360"/>
    </w:pPr>
  </w:style>
  <w:style w:type="paragraph" w:customStyle="1" w:styleId="P04-00">
    <w:name w:val="P 04-00"/>
    <w:basedOn w:val="Normal"/>
    <w:pPr>
      <w:widowControl/>
      <w:ind w:firstLine="475"/>
    </w:pPr>
  </w:style>
  <w:style w:type="paragraph" w:customStyle="1" w:styleId="P05-00">
    <w:name w:val="P 05-00"/>
    <w:basedOn w:val="Normal"/>
    <w:pPr>
      <w:widowControl/>
      <w:ind w:firstLine="605"/>
    </w:pPr>
  </w:style>
  <w:style w:type="paragraph" w:customStyle="1" w:styleId="P06-00">
    <w:name w:val="P 06-00"/>
    <w:basedOn w:val="Normal"/>
    <w:link w:val="P06-00Char"/>
    <w:pPr>
      <w:widowControl/>
      <w:ind w:firstLine="720"/>
    </w:pPr>
  </w:style>
  <w:style w:type="paragraph" w:customStyle="1" w:styleId="P06-06">
    <w:name w:val="P 06-06"/>
    <w:basedOn w:val="Normal"/>
    <w:pPr>
      <w:widowControl/>
      <w:ind w:left="720"/>
    </w:pPr>
  </w:style>
  <w:style w:type="paragraph" w:customStyle="1" w:styleId="P06-07">
    <w:name w:val="P 06-07"/>
    <w:basedOn w:val="Normal"/>
    <w:pPr>
      <w:widowControl/>
      <w:ind w:left="835" w:hanging="115"/>
    </w:pPr>
  </w:style>
  <w:style w:type="paragraph" w:customStyle="1" w:styleId="P06-10">
    <w:name w:val="P 06-10"/>
    <w:basedOn w:val="Normal"/>
    <w:pPr>
      <w:widowControl/>
      <w:ind w:left="1195" w:hanging="475"/>
    </w:pPr>
  </w:style>
  <w:style w:type="paragraph" w:customStyle="1" w:styleId="P06-11">
    <w:name w:val="P 06-11"/>
    <w:basedOn w:val="Normal"/>
    <w:pPr>
      <w:widowControl/>
      <w:ind w:left="1325" w:hanging="605"/>
    </w:pPr>
  </w:style>
  <w:style w:type="paragraph" w:customStyle="1" w:styleId="P06-12">
    <w:name w:val="P 06-12"/>
    <w:basedOn w:val="Normal"/>
    <w:pPr>
      <w:widowControl/>
      <w:ind w:left="1440" w:hanging="720"/>
    </w:pPr>
  </w:style>
  <w:style w:type="paragraph" w:customStyle="1" w:styleId="P06-17">
    <w:name w:val="P 06-17"/>
    <w:basedOn w:val="Normal"/>
    <w:pPr>
      <w:widowControl/>
      <w:ind w:left="2045" w:hanging="1325"/>
    </w:pPr>
  </w:style>
  <w:style w:type="paragraph" w:customStyle="1" w:styleId="P06-18">
    <w:name w:val="P 06-18"/>
    <w:basedOn w:val="Normal"/>
    <w:pPr>
      <w:widowControl/>
      <w:ind w:left="2160" w:hanging="1440"/>
    </w:pPr>
  </w:style>
  <w:style w:type="paragraph" w:customStyle="1" w:styleId="P06-20">
    <w:name w:val="P 06-20"/>
    <w:basedOn w:val="Normal"/>
    <w:pPr>
      <w:widowControl/>
      <w:ind w:left="2405" w:hanging="1685"/>
    </w:pPr>
  </w:style>
  <w:style w:type="paragraph" w:customStyle="1" w:styleId="P06-21">
    <w:name w:val="P 06-21"/>
    <w:basedOn w:val="Normal"/>
    <w:pPr>
      <w:widowControl/>
      <w:ind w:left="2520" w:hanging="1800"/>
    </w:pPr>
  </w:style>
  <w:style w:type="paragraph" w:customStyle="1" w:styleId="P09-12">
    <w:name w:val="P 09-12"/>
    <w:basedOn w:val="Normal"/>
    <w:pPr>
      <w:widowControl/>
      <w:ind w:left="1440" w:hanging="360"/>
    </w:pPr>
  </w:style>
  <w:style w:type="paragraph" w:customStyle="1" w:styleId="P10-10">
    <w:name w:val="P 10-10"/>
    <w:basedOn w:val="Normal"/>
    <w:pPr>
      <w:widowControl/>
      <w:ind w:left="1195"/>
    </w:pPr>
  </w:style>
  <w:style w:type="paragraph" w:customStyle="1" w:styleId="P11-06">
    <w:name w:val="P 11-06"/>
    <w:basedOn w:val="Normal"/>
    <w:pPr>
      <w:widowControl/>
      <w:ind w:left="720" w:firstLine="605"/>
    </w:pPr>
  </w:style>
  <w:style w:type="paragraph" w:customStyle="1" w:styleId="P12-06">
    <w:name w:val="P 12-06"/>
    <w:basedOn w:val="Normal"/>
    <w:pPr>
      <w:widowControl/>
      <w:ind w:left="720" w:firstLine="720"/>
    </w:pPr>
  </w:style>
  <w:style w:type="paragraph" w:customStyle="1" w:styleId="P12-18">
    <w:name w:val="P 12-18"/>
    <w:basedOn w:val="Normal"/>
    <w:pPr>
      <w:widowControl/>
      <w:ind w:left="2160" w:hanging="720"/>
    </w:pPr>
  </w:style>
  <w:style w:type="character" w:styleId="PageNumber">
    <w:name w:val="page number"/>
    <w:basedOn w:val="DefaultParagraphFont"/>
  </w:style>
  <w:style w:type="character" w:customStyle="1" w:styleId="RTITLE">
    <w:name w:val="RTITLE"/>
    <w:rPr>
      <w:color w:val="FF0000"/>
    </w:rPr>
  </w:style>
  <w:style w:type="paragraph" w:customStyle="1" w:styleId="SEC06-16">
    <w:name w:val="SEC 06-16"/>
    <w:basedOn w:val="Normal"/>
    <w:pPr>
      <w:widowControl/>
      <w:ind w:left="1915" w:right="720" w:hanging="1195"/>
    </w:pPr>
  </w:style>
  <w:style w:type="paragraph" w:customStyle="1" w:styleId="SEC06-17">
    <w:name w:val="SEC 06-17"/>
    <w:basedOn w:val="Normal"/>
    <w:pPr>
      <w:widowControl/>
      <w:ind w:left="2045" w:right="720" w:hanging="1325"/>
    </w:pPr>
  </w:style>
  <w:style w:type="paragraph" w:customStyle="1" w:styleId="SEC06-18">
    <w:name w:val="SEC 06-18"/>
    <w:basedOn w:val="Normal"/>
    <w:pPr>
      <w:widowControl/>
      <w:ind w:left="2160" w:right="720" w:hanging="1440"/>
    </w:pPr>
  </w:style>
  <w:style w:type="paragraph" w:customStyle="1" w:styleId="SEC06-19">
    <w:name w:val="SEC 06-19"/>
    <w:basedOn w:val="Normal"/>
    <w:pPr>
      <w:widowControl/>
      <w:ind w:left="2275" w:right="720" w:hanging="1555"/>
    </w:pPr>
  </w:style>
  <w:style w:type="paragraph" w:customStyle="1" w:styleId="SEC06-20">
    <w:name w:val="SEC 06-20"/>
    <w:basedOn w:val="Normal"/>
    <w:pPr>
      <w:widowControl/>
      <w:ind w:left="2405" w:right="720" w:hanging="1685"/>
    </w:pPr>
  </w:style>
  <w:style w:type="paragraph" w:customStyle="1" w:styleId="SEC06-21">
    <w:name w:val="SEC 06-21"/>
    <w:basedOn w:val="Normal"/>
    <w:pPr>
      <w:widowControl/>
      <w:ind w:left="2520" w:right="720" w:hanging="1800"/>
    </w:pPr>
  </w:style>
  <w:style w:type="paragraph" w:customStyle="1" w:styleId="SEC06-22">
    <w:name w:val="SEC 06-22"/>
    <w:basedOn w:val="Normal"/>
    <w:pPr>
      <w:widowControl/>
      <w:ind w:left="2635" w:right="720" w:hanging="1915"/>
    </w:pPr>
  </w:style>
  <w:style w:type="paragraph" w:customStyle="1" w:styleId="SEC06-34">
    <w:name w:val="SEC 06-34"/>
    <w:basedOn w:val="Normal"/>
    <w:pPr>
      <w:widowControl/>
      <w:ind w:left="4075" w:right="720" w:hanging="3355"/>
    </w:pPr>
  </w:style>
  <w:style w:type="paragraph" w:customStyle="1" w:styleId="SEC06-37">
    <w:name w:val="SEC 06-37"/>
    <w:basedOn w:val="Normal"/>
    <w:pPr>
      <w:widowControl/>
      <w:ind w:left="4435" w:right="720" w:hanging="3715"/>
    </w:pPr>
  </w:style>
  <w:style w:type="paragraph" w:customStyle="1" w:styleId="SEC12-18">
    <w:name w:val="SEC 12-18"/>
    <w:basedOn w:val="Normal"/>
    <w:pPr>
      <w:widowControl/>
      <w:ind w:left="2160" w:right="720" w:hanging="720"/>
    </w:pPr>
  </w:style>
  <w:style w:type="character" w:customStyle="1" w:styleId="SECHEAD">
    <w:name w:val="SECHEAD"/>
    <w:basedOn w:val="DefaultParagraphFont"/>
    <w:rPr>
      <w:color w:val="800080"/>
      <w:u w:val="single"/>
    </w:rPr>
  </w:style>
  <w:style w:type="character" w:customStyle="1" w:styleId="SNUM">
    <w:name w:val="SNUM"/>
    <w:basedOn w:val="DefaultParagraphFont"/>
    <w:rPr>
      <w:color w:val="008000"/>
    </w:rPr>
  </w:style>
  <w:style w:type="character" w:customStyle="1" w:styleId="SPONSORS">
    <w:name w:val="SPONSORS"/>
  </w:style>
  <w:style w:type="character" w:customStyle="1" w:styleId="TITLE">
    <w:name w:val="TITLE"/>
    <w:basedOn w:val="DefaultParagraphFont"/>
    <w:rPr>
      <w:caps/>
      <w:color w:val="0000FF"/>
    </w:rPr>
  </w:style>
  <w:style w:type="character" w:customStyle="1" w:styleId="UP">
    <w:name w:val="UP"/>
    <w:basedOn w:val="DefaultParagraphFont"/>
    <w:rPr>
      <w:caps/>
      <w:noProof w:val="0"/>
      <w:color w:val="0000FF"/>
      <w:lang w:val="en-US"/>
    </w:rPr>
  </w:style>
  <w:style w:type="character" w:customStyle="1" w:styleId="P06-00Char">
    <w:name w:val="P 06-00 Char"/>
    <w:basedOn w:val="DefaultParagraphFont"/>
    <w:link w:val="P06-00"/>
    <w:rsid w:val="009E5C95"/>
    <w:rPr>
      <w:rFonts w:ascii="Letter-Gothic-Drafting" w:hAnsi="Letter-Gothic-Drafting"/>
      <w:b/>
      <w:snapToGrid w:val="0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template\statutes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statutes.dot</Template>
  <TotalTime>0</TotalTime>
  <Pages>1</Pages>
  <Words>189</Words>
  <Characters>1080</Characters>
  <Application>Microsoft Office Word</Application>
  <DocSecurity>0</DocSecurity>
  <Lines>24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EXPLANATION OF BLEND</vt:lpstr>
    </vt:vector>
  </TitlesOfParts>
  <Company>LCS</Company>
  <LinksUpToDate>false</LinksUpToDate>
  <CharactersWithSpaces>1253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42-12053; Criteria for distinguishing primary residential property, secondary residential property and rental property</dc:title>
  <dc:subject>Criteria for distinguishing primary residential property, secondary residential property and rental property</dc:subject>
  <dc:creator>Arizona Legislative Council</dc:creator>
  <cp:keywords/>
  <dc:description>0350.doc - 502R - 2012</dc:description>
  <cp:lastModifiedBy>dbupdate</cp:lastModifiedBy>
  <cp:revision>2</cp:revision>
  <cp:lastPrinted>2012-07-18T19:39:00Z</cp:lastPrinted>
  <dcterms:created xsi:type="dcterms:W3CDTF">2026-09-10T06:30:00Z</dcterms:created>
  <dcterms:modified xsi:type="dcterms:W3CDTF">2026-09-10T06:30:00Z</dcterms:modified>
</cp:coreProperties>
</file>