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C4A94" w14:textId="77777777" w:rsidR="007714CF" w:rsidRPr="007714CF" w:rsidRDefault="007714CF">
      <w:pPr>
        <w:pStyle w:val="SEC06-18"/>
        <w:rPr>
          <w:rFonts w:ascii="Courier New" w:hAnsi="Courier New"/>
        </w:rPr>
      </w:pPr>
      <w:r w:rsidRPr="007714CF">
        <w:rPr>
          <w:rFonts w:ascii="Courier New" w:hAnsi="Courier New"/>
          <w:vanish/>
        </w:rPr>
        <w:fldChar w:fldCharType="begin"/>
      </w:r>
      <w:r w:rsidRPr="007714CF">
        <w:rPr>
          <w:rFonts w:ascii="Courier New" w:hAnsi="Courier New"/>
          <w:vanish/>
        </w:rPr>
        <w:instrText xml:space="preserve"> COMMENTS START_STATUTE \* MERGEFORMAT </w:instrText>
      </w:r>
      <w:r w:rsidRPr="007714CF">
        <w:rPr>
          <w:rFonts w:ascii="Courier New" w:hAnsi="Courier New"/>
          <w:vanish/>
        </w:rPr>
        <w:fldChar w:fldCharType="separate"/>
      </w:r>
      <w:r w:rsidRPr="007714CF">
        <w:rPr>
          <w:rFonts w:ascii="Courier New" w:hAnsi="Courier New"/>
          <w:vanish/>
        </w:rPr>
        <w:t>START_STATUTE</w:t>
      </w:r>
      <w:r w:rsidRPr="007714CF">
        <w:rPr>
          <w:rFonts w:ascii="Courier New" w:hAnsi="Courier New"/>
          <w:vanish/>
        </w:rPr>
        <w:fldChar w:fldCharType="end"/>
      </w:r>
      <w:r w:rsidRPr="007714CF">
        <w:rPr>
          <w:rStyle w:val="SNUM"/>
          <w:rFonts w:ascii="Courier New" w:hAnsi="Courier New"/>
        </w:rPr>
        <w:t>41-2805</w:t>
      </w:r>
      <w:r w:rsidRPr="007714CF">
        <w:rPr>
          <w:rFonts w:ascii="Courier New" w:hAnsi="Courier New"/>
        </w:rPr>
        <w:t>.  </w:t>
      </w:r>
      <w:r w:rsidRPr="007714CF">
        <w:rPr>
          <w:rStyle w:val="SECHEAD"/>
          <w:rFonts w:ascii="Courier New" w:hAnsi="Courier New"/>
        </w:rPr>
        <w:t>Health care</w:t>
      </w:r>
    </w:p>
    <w:p w14:paraId="0C05BF46" w14:textId="77777777" w:rsidR="007714CF" w:rsidRPr="007714CF" w:rsidRDefault="007714CF">
      <w:pPr>
        <w:pStyle w:val="P06-00"/>
        <w:rPr>
          <w:rFonts w:ascii="Courier New" w:hAnsi="Courier New"/>
        </w:rPr>
      </w:pPr>
      <w:r w:rsidRPr="007714CF">
        <w:rPr>
          <w:rFonts w:ascii="Courier New" w:hAnsi="Courier New"/>
        </w:rPr>
        <w:t>A.  The director may provide medical, dental and health services for committed youth.  The director may contract for professional services to assist the director in carrying out the responsibility on behalf of this state if all of the records in connection with the services are made and retained by authorized or qualified medical and professional personnel and not by any youth. The records when not in use shall be retained in a safe</w:t>
      </w:r>
      <w:r w:rsidRPr="007714CF">
        <w:rPr>
          <w:rFonts w:ascii="Courier New" w:hAnsi="Courier New"/>
        </w:rPr>
        <w:t xml:space="preserve"> and secure place.</w:t>
      </w:r>
    </w:p>
    <w:p w14:paraId="53879A0C" w14:textId="77777777" w:rsidR="007714CF" w:rsidRPr="007714CF" w:rsidRDefault="007714CF">
      <w:pPr>
        <w:pStyle w:val="P06-00"/>
        <w:rPr>
          <w:rFonts w:ascii="Courier New" w:hAnsi="Courier New"/>
        </w:rPr>
      </w:pPr>
      <w:r w:rsidRPr="007714CF">
        <w:rPr>
          <w:rFonts w:ascii="Courier New" w:hAnsi="Courier New"/>
        </w:rPr>
        <w:t xml:space="preserve">B.  If a committed youth who is not residing with the youth's parent or legal guardian is in need of medical, surgical or dental care, and a spouse, adult next of kin or legal guardian is not immediately available or has not previously given authorization for such care, the director or the director's authorized representative, on the recommendation of the attending physician or dentist, may authorize the performance of such necessary medical, surgical or dental service. </w:t>
      </w:r>
      <w:r w:rsidRPr="007714CF">
        <w:rPr>
          <w:rFonts w:ascii="Courier New" w:hAnsi="Courier New"/>
          <w:vanish/>
        </w:rPr>
        <w:fldChar w:fldCharType="begin"/>
      </w:r>
      <w:r w:rsidRPr="007714CF">
        <w:rPr>
          <w:rFonts w:ascii="Courier New" w:hAnsi="Courier New"/>
          <w:vanish/>
        </w:rPr>
        <w:instrText xml:space="preserve"> COMMENTS END_STATUTE \* MERGEFORMAT </w:instrText>
      </w:r>
      <w:r w:rsidRPr="007714CF">
        <w:rPr>
          <w:rFonts w:ascii="Courier New" w:hAnsi="Courier New"/>
          <w:vanish/>
        </w:rPr>
        <w:fldChar w:fldCharType="separate"/>
      </w:r>
      <w:proofErr w:type="spellStart"/>
      <w:r w:rsidRPr="007714CF">
        <w:rPr>
          <w:rFonts w:ascii="Courier New" w:hAnsi="Courier New"/>
          <w:vanish/>
        </w:rPr>
        <w:t>END_STATUTE</w:t>
      </w:r>
      <w:proofErr w:type="spellEnd"/>
      <w:r w:rsidRPr="007714CF">
        <w:rPr>
          <w:rFonts w:ascii="Courier New" w:hAnsi="Courier New"/>
          <w:vanish/>
        </w:rPr>
        <w:fldChar w:fldCharType="end"/>
      </w:r>
    </w:p>
    <w:sectPr w:rsidR="00000000" w:rsidRPr="007714CF">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FB11D" w14:textId="77777777" w:rsidR="007714CF" w:rsidRDefault="007714CF">
      <w:r>
        <w:separator/>
      </w:r>
    </w:p>
  </w:endnote>
  <w:endnote w:type="continuationSeparator" w:id="0">
    <w:p w14:paraId="31B94B22" w14:textId="77777777" w:rsidR="007714CF" w:rsidRDefault="0077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DB25A" w14:textId="77777777" w:rsidR="007714CF" w:rsidRDefault="007714CF">
      <w:r>
        <w:separator/>
      </w:r>
    </w:p>
  </w:footnote>
  <w:footnote w:type="continuationSeparator" w:id="0">
    <w:p w14:paraId="3A0A0FC2" w14:textId="77777777" w:rsidR="007714CF" w:rsidRDefault="00771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418209916">
    <w:abstractNumId w:val="1"/>
  </w:num>
  <w:num w:numId="2" w16cid:durableId="328599050">
    <w:abstractNumId w:val="1"/>
  </w:num>
  <w:num w:numId="3" w16cid:durableId="1526862916">
    <w:abstractNumId w:val="0"/>
  </w:num>
  <w:num w:numId="4" w16cid:durableId="677538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CF"/>
    <w:rsid w:val="00771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777E6"/>
  <w15:chartTrackingRefBased/>
  <w15:docId w15:val="{0674DA1E-B151-490D-A94F-F9E2FDB8E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173</Words>
  <Characters>886</Characters>
  <Application>Microsoft Office Word</Application>
  <DocSecurity>0</DocSecurity>
  <Lines>15</Lines>
  <Paragraphs>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41-2805; Health care</dc:title>
  <dc:subject>Health care</dc:subject>
  <dc:creator>Arizona Legislative Council</dc:creator>
  <cp:keywords/>
  <dc:description/>
  <cp:lastModifiedBy>dbupdate</cp:lastModifiedBy>
  <cp:revision>2</cp:revision>
  <cp:lastPrinted>1601-01-01T00:00:00Z</cp:lastPrinted>
  <dcterms:created xsi:type="dcterms:W3CDTF">2025-09-21T06:49:00Z</dcterms:created>
  <dcterms:modified xsi:type="dcterms:W3CDTF">2025-09-21T06:49:00Z</dcterms:modified>
</cp:coreProperties>
</file>