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2849" w14:textId="77777777" w:rsidR="00186578" w:rsidRPr="005856F4" w:rsidRDefault="00186578" w:rsidP="00186578">
      <w:pPr>
        <w:pStyle w:val="SEC06-21"/>
        <w:rPr>
          <w:rFonts w:ascii="Courier New" w:hAnsi="Courier New" w:cs="Letter-GothicBold"/>
          <w:bCs/>
          <w:snapToGrid/>
          <w:color w:val="810081"/>
        </w:rPr>
      </w:pPr>
      <w:r w:rsidRPr="005856F4">
        <w:rPr>
          <w:rFonts w:ascii="Courier New" w:hAnsi="Courier New"/>
          <w:vanish/>
        </w:rPr>
        <w:fldChar w:fldCharType="begin"/>
      </w:r>
      <w:r w:rsidRPr="005856F4">
        <w:rPr>
          <w:rFonts w:ascii="Courier New" w:hAnsi="Courier New"/>
          <w:vanish/>
        </w:rPr>
        <w:instrText xml:space="preserve"> COMMENTS START_STATUTE \* MERGEFORMAT </w:instrText>
      </w:r>
      <w:r w:rsidRPr="005856F4">
        <w:rPr>
          <w:rFonts w:ascii="Courier New" w:hAnsi="Courier New"/>
          <w:vanish/>
        </w:rPr>
        <w:fldChar w:fldCharType="separate"/>
      </w:r>
      <w:r w:rsidRPr="005856F4">
        <w:rPr>
          <w:rFonts w:ascii="Courier New" w:hAnsi="Courier New"/>
          <w:vanish/>
        </w:rPr>
        <w:t>START_STATUTE</w:t>
      </w:r>
      <w:r w:rsidRPr="005856F4">
        <w:rPr>
          <w:rFonts w:ascii="Courier New" w:hAnsi="Courier New"/>
          <w:vanish/>
        </w:rPr>
        <w:fldChar w:fldCharType="end"/>
      </w:r>
      <w:r w:rsidRPr="005856F4">
        <w:rPr>
          <w:rStyle w:val="SNUM"/>
          <w:rFonts w:ascii="Courier New" w:hAnsi="Courier New"/>
        </w:rPr>
        <w:t>41-1830.53</w:t>
      </w:r>
      <w:r w:rsidRPr="005856F4">
        <w:rPr>
          <w:rFonts w:ascii="Courier New" w:hAnsi="Courier New"/>
          <w:snapToGrid/>
          <w:color w:val="008300"/>
        </w:rPr>
        <w:t>.</w:t>
      </w:r>
      <w:r w:rsidRPr="005856F4">
        <w:rPr>
          <w:rFonts w:ascii="Courier New" w:hAnsi="Courier New"/>
        </w:rPr>
        <w:t>  </w:t>
      </w:r>
      <w:r w:rsidR="00127903" w:rsidRPr="005856F4">
        <w:rPr>
          <w:rStyle w:val="SECHEAD"/>
          <w:rFonts w:ascii="Courier New" w:hAnsi="Courier New"/>
        </w:rPr>
        <w:t>Heavy</w:t>
      </w:r>
      <w:r w:rsidR="00127903" w:rsidRPr="005856F4">
        <w:rPr>
          <w:rStyle w:val="SECHEAD"/>
          <w:rFonts w:ascii="Courier New" w:hAnsi="Courier New"/>
        </w:rPr>
        <w:noBreakHyphen/>
      </w:r>
      <w:r w:rsidRPr="005856F4">
        <w:rPr>
          <w:rStyle w:val="SECHEAD"/>
          <w:rFonts w:ascii="Courier New" w:hAnsi="Courier New"/>
        </w:rPr>
        <w:t>duty rotator recovery vehicle classification; rates and guidelines; definition</w:t>
      </w:r>
    </w:p>
    <w:p w14:paraId="0A604EB1" w14:textId="77777777" w:rsidR="007F4AE7" w:rsidRPr="005856F4" w:rsidRDefault="007F4AE7" w:rsidP="00186578">
      <w:pPr>
        <w:pStyle w:val="P06-00"/>
        <w:rPr>
          <w:rFonts w:ascii="Courier New" w:hAnsi="Courier New"/>
        </w:rPr>
      </w:pPr>
    </w:p>
    <w:p w14:paraId="2BB78B6F" w14:textId="77777777" w:rsidR="007F4AE7" w:rsidRPr="005856F4" w:rsidRDefault="007F4AE7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(Conditionally Rpld.)</w:t>
      </w:r>
    </w:p>
    <w:p w14:paraId="3B6CDE77" w14:textId="77777777" w:rsidR="007F4AE7" w:rsidRPr="005856F4" w:rsidRDefault="007F4AE7" w:rsidP="00186578">
      <w:pPr>
        <w:pStyle w:val="P06-00"/>
        <w:rPr>
          <w:rFonts w:ascii="Courier New" w:hAnsi="Courier New"/>
        </w:rPr>
      </w:pPr>
    </w:p>
    <w:p w14:paraId="5A9F5D76" w14:textId="77777777" w:rsidR="00186578" w:rsidRPr="005856F4" w:rsidRDefault="00186578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A.  The dep</w:t>
      </w:r>
      <w:r w:rsidR="00127903" w:rsidRPr="005856F4">
        <w:rPr>
          <w:rFonts w:ascii="Courier New" w:hAnsi="Courier New"/>
        </w:rPr>
        <w:t>artment shall establish a heavy</w:t>
      </w:r>
      <w:r w:rsidR="00127903" w:rsidRPr="005856F4">
        <w:rPr>
          <w:rFonts w:ascii="Courier New" w:hAnsi="Courier New"/>
        </w:rPr>
        <w:noBreakHyphen/>
      </w:r>
      <w:r w:rsidRPr="005856F4">
        <w:rPr>
          <w:rFonts w:ascii="Courier New" w:hAnsi="Courier New"/>
        </w:rPr>
        <w:t xml:space="preserve">duty rotator recovery vehicle classification for towing services and establish rates and general </w:t>
      </w:r>
      <w:r w:rsidR="00127903" w:rsidRPr="005856F4">
        <w:rPr>
          <w:rFonts w:ascii="Courier New" w:hAnsi="Courier New"/>
        </w:rPr>
        <w:t>guidelines for the use of heavy</w:t>
      </w:r>
      <w:r w:rsidR="00127903" w:rsidRPr="005856F4">
        <w:rPr>
          <w:rFonts w:ascii="Courier New" w:hAnsi="Courier New"/>
        </w:rPr>
        <w:noBreakHyphen/>
      </w:r>
      <w:r w:rsidRPr="005856F4">
        <w:rPr>
          <w:rFonts w:ascii="Courier New" w:hAnsi="Courier New"/>
        </w:rPr>
        <w:t>duty rotator recovery vehicles.</w:t>
      </w:r>
    </w:p>
    <w:p w14:paraId="2ED156BA" w14:textId="77777777" w:rsidR="00186578" w:rsidRPr="005856F4" w:rsidRDefault="00186578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B.  For the p</w:t>
      </w:r>
      <w:r w:rsidR="00127903" w:rsidRPr="005856F4">
        <w:rPr>
          <w:rFonts w:ascii="Courier New" w:hAnsi="Courier New"/>
        </w:rPr>
        <w:t>urposes of this section, "heavy</w:t>
      </w:r>
      <w:r w:rsidR="00127903" w:rsidRPr="005856F4">
        <w:rPr>
          <w:rFonts w:ascii="Courier New" w:hAnsi="Courier New"/>
        </w:rPr>
        <w:noBreakHyphen/>
      </w:r>
      <w:r w:rsidRPr="005856F4">
        <w:rPr>
          <w:rFonts w:ascii="Courier New" w:hAnsi="Courier New"/>
        </w:rPr>
        <w:t>duty rotator recovery vehicle" means a tow vehicle that has all of the following:</w:t>
      </w:r>
    </w:p>
    <w:p w14:paraId="2FF8F5C3" w14:textId="77777777" w:rsidR="00186578" w:rsidRPr="005856F4" w:rsidRDefault="00186578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1.  A manufacturer's gross vehicle weight rating in excess of fifty</w:t>
      </w:r>
      <w:r w:rsidRPr="005856F4">
        <w:rPr>
          <w:rFonts w:ascii="Courier New" w:hAnsi="Courier New"/>
        </w:rPr>
        <w:noBreakHyphen/>
        <w:t>two thousand pounds.</w:t>
      </w:r>
    </w:p>
    <w:p w14:paraId="7CF90BA8" w14:textId="77777777" w:rsidR="00186578" w:rsidRPr="005856F4" w:rsidRDefault="00186578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2.  A boom that is capable of moving its position to the side of the vehicle to perform recoveries and that has a boom rating of at least forty tons.</w:t>
      </w:r>
    </w:p>
    <w:p w14:paraId="794139B8" w14:textId="77777777" w:rsidR="00186578" w:rsidRPr="005856F4" w:rsidRDefault="00186578" w:rsidP="00186578">
      <w:pPr>
        <w:pStyle w:val="P06-00"/>
        <w:rPr>
          <w:rFonts w:ascii="Courier New" w:hAnsi="Courier New"/>
        </w:rPr>
      </w:pPr>
      <w:r w:rsidRPr="005856F4">
        <w:rPr>
          <w:rFonts w:ascii="Courier New" w:hAnsi="Courier New"/>
        </w:rPr>
        <w:t>3.  Air brakes that are capable of providing air to the towed vehicle's brakes.</w:t>
      </w:r>
      <w:r w:rsidRPr="005856F4">
        <w:rPr>
          <w:rStyle w:val="UP"/>
          <w:rFonts w:ascii="Courier New" w:hAnsi="Courier New"/>
        </w:rPr>
        <w:t xml:space="preserve"> </w:t>
      </w:r>
      <w:r w:rsidRPr="005856F4">
        <w:rPr>
          <w:rFonts w:ascii="Courier New" w:hAnsi="Courier New"/>
          <w:vanish/>
        </w:rPr>
        <w:fldChar w:fldCharType="begin"/>
      </w:r>
      <w:r w:rsidRPr="005856F4">
        <w:rPr>
          <w:rFonts w:ascii="Courier New" w:hAnsi="Courier New"/>
          <w:vanish/>
        </w:rPr>
        <w:instrText xml:space="preserve"> COMMENTS END_STATUTE \* MERGEFORMAT </w:instrText>
      </w:r>
      <w:r w:rsidRPr="005856F4">
        <w:rPr>
          <w:rFonts w:ascii="Courier New" w:hAnsi="Courier New"/>
          <w:vanish/>
        </w:rPr>
        <w:fldChar w:fldCharType="separate"/>
      </w:r>
      <w:r w:rsidRPr="005856F4">
        <w:rPr>
          <w:rFonts w:ascii="Courier New" w:hAnsi="Courier New"/>
          <w:vanish/>
        </w:rPr>
        <w:t>END_STATUTE</w:t>
      </w:r>
      <w:r w:rsidRPr="005856F4">
        <w:rPr>
          <w:rFonts w:ascii="Courier New" w:hAnsi="Courier New"/>
          <w:vanish/>
        </w:rPr>
        <w:fldChar w:fldCharType="end"/>
      </w:r>
    </w:p>
    <w:p w14:paraId="56503444" w14:textId="77777777" w:rsidR="00F540AD" w:rsidRPr="005856F4" w:rsidRDefault="00F540AD">
      <w:pPr>
        <w:rPr>
          <w:rFonts w:ascii="Courier New" w:hAnsi="Courier New"/>
        </w:rPr>
      </w:pPr>
    </w:p>
    <w:sectPr w:rsidR="00F540AD" w:rsidRPr="005856F4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502F" w14:textId="77777777" w:rsidR="00795262" w:rsidRDefault="00795262">
      <w:r>
        <w:separator/>
      </w:r>
    </w:p>
  </w:endnote>
  <w:endnote w:type="continuationSeparator" w:id="0">
    <w:p w14:paraId="39AC36D9" w14:textId="77777777" w:rsidR="00795262" w:rsidRDefault="0079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etter-Gothic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E83F" w14:textId="77777777" w:rsidR="00795262" w:rsidRDefault="00795262">
      <w:r>
        <w:separator/>
      </w:r>
    </w:p>
  </w:footnote>
  <w:footnote w:type="continuationSeparator" w:id="0">
    <w:p w14:paraId="377FB832" w14:textId="77777777" w:rsidR="00795262" w:rsidRDefault="00795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2517460">
    <w:abstractNumId w:val="1"/>
  </w:num>
  <w:num w:numId="2" w16cid:durableId="1569924701">
    <w:abstractNumId w:val="1"/>
  </w:num>
  <w:num w:numId="3" w16cid:durableId="1759935823">
    <w:abstractNumId w:val="0"/>
  </w:num>
  <w:num w:numId="4" w16cid:durableId="10469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78"/>
    <w:rsid w:val="00127903"/>
    <w:rsid w:val="00186578"/>
    <w:rsid w:val="005856F4"/>
    <w:rsid w:val="00795262"/>
    <w:rsid w:val="007F0F8C"/>
    <w:rsid w:val="007F4AE7"/>
    <w:rsid w:val="00F005AD"/>
    <w:rsid w:val="00F540AD"/>
    <w:rsid w:val="00F67F83"/>
    <w:rsid w:val="00F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FADE55"/>
  <w15:chartTrackingRefBased/>
  <w15:docId w15:val="{72A36D42-BDAC-429D-BAE0-D117696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186578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136</Words>
  <Characters>744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41-1830.53; Heavy_x001e_duty rotator recovery vehicle classification; rates and guidelines; definition</dc:title>
  <dc:subject>Heavy_x001e_duty rotator recovery vehicle classification; rates and guidelines; definition</dc:subject>
  <dc:creator>Arizona Legislative Council</dc:creator>
  <cp:keywords/>
  <dc:description>0265.doc - 521R - 2015</dc:description>
  <cp:lastModifiedBy>dbupdate</cp:lastModifiedBy>
  <cp:revision>2</cp:revision>
  <dcterms:created xsi:type="dcterms:W3CDTF">2025-09-21T06:25:00Z</dcterms:created>
  <dcterms:modified xsi:type="dcterms:W3CDTF">2025-09-21T06:25:00Z</dcterms:modified>
</cp:coreProperties>
</file>