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BFB0D" w14:textId="16F5BC1C" w:rsidR="000E3654" w:rsidRPr="003C134C" w:rsidRDefault="000E3654" w:rsidP="000E3654">
      <w:pPr>
        <w:pStyle w:val="SEC06-20"/>
        <w:rPr>
          <w:rFonts w:ascii="Courier New" w:hAnsi="Courier New" w:cs="Courier New"/>
        </w:rPr>
      </w:pPr>
      <w:r w:rsidRPr="003C134C">
        <w:rPr>
          <w:rFonts w:ascii="Courier New" w:hAnsi="Courier New" w:cs="Courier New"/>
        </w:rPr>
        <w:fldChar w:fldCharType="begin"/>
      </w:r>
      <w:r w:rsidRPr="003C134C">
        <w:rPr>
          <w:rFonts w:ascii="Courier New" w:hAnsi="Courier New" w:cs="Courier New"/>
        </w:rPr>
        <w:instrText xml:space="preserve"> COMMENTS START_STATUTE \* MERGEFORMAT </w:instrText>
      </w:r>
      <w:r w:rsidRPr="003C134C">
        <w:rPr>
          <w:rFonts w:ascii="Courier New" w:hAnsi="Courier New" w:cs="Courier New"/>
        </w:rPr>
        <w:fldChar w:fldCharType="separate"/>
      </w:r>
      <w:r w:rsidRPr="003C134C">
        <w:rPr>
          <w:rFonts w:ascii="Courier New" w:hAnsi="Courier New" w:cs="Courier New"/>
          <w:vanish/>
        </w:rPr>
        <w:t>START_STATUTE</w:t>
      </w:r>
      <w:r w:rsidRPr="003C134C">
        <w:rPr>
          <w:rFonts w:ascii="Courier New" w:hAnsi="Courier New" w:cs="Courier New"/>
        </w:rPr>
        <w:fldChar w:fldCharType="end"/>
      </w:r>
      <w:r w:rsidRPr="003C134C">
        <w:rPr>
          <w:rStyle w:val="SNUM"/>
          <w:rFonts w:ascii="Courier New" w:hAnsi="Courier New" w:cs="Courier New"/>
        </w:rPr>
        <w:t>40-360.26.</w:t>
      </w:r>
      <w:r w:rsidRPr="003C134C">
        <w:rPr>
          <w:rFonts w:ascii="Courier New" w:hAnsi="Courier New" w:cs="Courier New"/>
        </w:rPr>
        <w:t>  </w:t>
      </w:r>
      <w:r w:rsidRPr="003C134C">
        <w:rPr>
          <w:rStyle w:val="SECHEAD"/>
          <w:rFonts w:ascii="Courier New" w:hAnsi="Courier New" w:cs="Courier New"/>
        </w:rPr>
        <w:t>Damage of underground facility; liability to owner; homeowner and tenant exemption</w:t>
      </w:r>
    </w:p>
    <w:p w14:paraId="77DB11BD" w14:textId="77777777" w:rsidR="000E3654" w:rsidRPr="003C134C" w:rsidRDefault="000E3654" w:rsidP="000E3654">
      <w:pPr>
        <w:pStyle w:val="P06-00"/>
        <w:rPr>
          <w:rFonts w:ascii="Courier New" w:hAnsi="Courier New" w:cs="Courier New"/>
        </w:rPr>
      </w:pPr>
      <w:r w:rsidRPr="003C134C">
        <w:rPr>
          <w:rFonts w:ascii="Courier New" w:hAnsi="Courier New" w:cs="Courier New"/>
        </w:rPr>
        <w:t>A.  If any underground facility is damaged by any person in violation of this article as a result of failing to obtain information as to its location, failing to take measures for protection of the facilities or failing to excavate in a careful and prudent manner, the person is liable to the owner of the underground facility for the total cost of the repair of the facility.</w:t>
      </w:r>
    </w:p>
    <w:p w14:paraId="2A446EB5" w14:textId="2A234EE0" w:rsidR="000E3654" w:rsidRPr="003C134C" w:rsidRDefault="000E3654" w:rsidP="000E3654">
      <w:pPr>
        <w:pStyle w:val="P06-00"/>
        <w:rPr>
          <w:rFonts w:ascii="Courier New" w:hAnsi="Courier New" w:cs="Courier New"/>
        </w:rPr>
      </w:pPr>
      <w:r w:rsidRPr="003C134C">
        <w:rPr>
          <w:rFonts w:ascii="Courier New" w:hAnsi="Courier New" w:cs="Courier New"/>
        </w:rPr>
        <w:t>B.  A homeowner or homeowners' association engaging in excavating in an express or implied private property utility easement across property owned by the homeowner or homeowners’ association is not liable to the owner or operator of the underground facility that is damaged by the homeowner or homeowners' association pursuant to this section if the damaged underground facility is not buried or placed below ground in accordance with the applicable standards, if the underground facility is not located within the easement or if the homeowner or homeowners' association engaged in the excavation has complied with section 40</w:t>
      </w:r>
      <w:r w:rsidRPr="003C134C">
        <w:rPr>
          <w:rFonts w:ascii="Courier New" w:hAnsi="Courier New" w:cs="Courier New"/>
        </w:rPr>
        <w:noBreakHyphen/>
        <w:t>360.22. This subsection does not apply to any person who is employed by a homeowner or a homeowners' association including a contractor licensed pursuant to title 32, chapter 10 or a person who engages in contracting without a license as prohibited by section 32-1151.</w:t>
      </w:r>
    </w:p>
    <w:p w14:paraId="1E57D0BA" w14:textId="469AFAB8" w:rsidR="000E3654" w:rsidRPr="003C134C" w:rsidRDefault="000E3654" w:rsidP="000E3654">
      <w:pPr>
        <w:pStyle w:val="P06-00"/>
        <w:rPr>
          <w:rFonts w:ascii="Courier New" w:hAnsi="Courier New" w:cs="Courier New"/>
        </w:rPr>
      </w:pPr>
      <w:r w:rsidRPr="003C134C">
        <w:rPr>
          <w:rFonts w:ascii="Courier New" w:hAnsi="Courier New" w:cs="Courier New"/>
        </w:rPr>
        <w:t>C.  Notwithstanding any other provision in this article, a homeowner is not liable for any costs or expenses, including damage to third parties, resulting from damage to an underground facility that is owned by the homeowner but located within a public right-of-way if the damage was not caused by the homeowner's actions or by the homeowner's refusal to grant permission to the underground facilities operator of a sewer system to access the real property for the purpose of ascertaining the location of the underground sewer facility.</w:t>
      </w:r>
      <w:r w:rsidR="00F17D18" w:rsidRPr="003C134C">
        <w:rPr>
          <w:rFonts w:ascii="Courier New" w:hAnsi="Courier New" w:cs="Courier New"/>
        </w:rPr>
        <w:t xml:space="preserve"> </w:t>
      </w:r>
      <w:r w:rsidRPr="003C134C">
        <w:rPr>
          <w:rFonts w:ascii="Courier New" w:hAnsi="Courier New" w:cs="Courier New"/>
        </w:rPr>
        <w:t xml:space="preserve"> A tenant is not liable for any costs or expenses, including damage to third parties, resulting from damage to an underground facility that is owned by the tenant but located within a mobile home park if the damage was not caused by the tenant's actions or by the tenant's refusal to grant permission to the landlord to access the mobile home for the purpose of ascertaining the location of the underground facility. </w:t>
      </w:r>
    </w:p>
    <w:p w14:paraId="55D87843" w14:textId="04464960" w:rsidR="00F540AD" w:rsidRPr="003C134C" w:rsidRDefault="000E3654" w:rsidP="000E3654">
      <w:pPr>
        <w:pStyle w:val="P06-00"/>
        <w:rPr>
          <w:rFonts w:ascii="Courier New" w:hAnsi="Courier New" w:cs="Courier New"/>
        </w:rPr>
      </w:pPr>
      <w:r w:rsidRPr="003C134C">
        <w:rPr>
          <w:rFonts w:ascii="Courier New" w:hAnsi="Courier New" w:cs="Courier New"/>
        </w:rPr>
        <w:t>D.  An excavator that complies with an agreed large project schedule pursuant to section 40</w:t>
      </w:r>
      <w:r w:rsidRPr="003C134C">
        <w:rPr>
          <w:rFonts w:ascii="Courier New" w:hAnsi="Courier New" w:cs="Courier New"/>
        </w:rPr>
        <w:noBreakHyphen/>
        <w:t xml:space="preserve">360.22 and that uses the interactive positive response system for all communications required under this article is deemed to have satisfied the excavator's duty to request and maintain markings under this article for the portion of the project covered by the large project schedule. </w:t>
      </w:r>
      <w:r w:rsidRPr="003C134C">
        <w:rPr>
          <w:rFonts w:ascii="Courier New" w:hAnsi="Courier New" w:cs="Courier New"/>
        </w:rPr>
        <w:fldChar w:fldCharType="begin"/>
      </w:r>
      <w:r w:rsidRPr="003C134C">
        <w:rPr>
          <w:rFonts w:ascii="Courier New" w:hAnsi="Courier New" w:cs="Courier New"/>
        </w:rPr>
        <w:instrText xml:space="preserve"> COMMENTS END_STATUTE \* MERGEFORMAT </w:instrText>
      </w:r>
      <w:r w:rsidRPr="003C134C">
        <w:rPr>
          <w:rFonts w:ascii="Courier New" w:hAnsi="Courier New" w:cs="Courier New"/>
        </w:rPr>
        <w:fldChar w:fldCharType="separate"/>
      </w:r>
      <w:r w:rsidRPr="003C134C">
        <w:rPr>
          <w:rFonts w:ascii="Courier New" w:hAnsi="Courier New" w:cs="Courier New"/>
          <w:vanish/>
        </w:rPr>
        <w:t>END_STATUTE</w:t>
      </w:r>
      <w:r w:rsidRPr="003C134C">
        <w:rPr>
          <w:rFonts w:ascii="Courier New" w:hAnsi="Courier New" w:cs="Courier New"/>
        </w:rPr>
        <w:fldChar w:fldCharType="end"/>
      </w:r>
    </w:p>
    <w:sectPr w:rsidR="00F540AD" w:rsidRPr="003C134C" w:rsidSect="000E365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11227" w14:textId="77777777" w:rsidR="00FE5BE7" w:rsidRDefault="00FE5BE7">
      <w:r>
        <w:separator/>
      </w:r>
    </w:p>
  </w:endnote>
  <w:endnote w:type="continuationSeparator" w:id="0">
    <w:p w14:paraId="1FA5B98C" w14:textId="77777777" w:rsidR="00FE5BE7" w:rsidRDefault="00FE5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CD8FD" w14:textId="77777777" w:rsidR="00FE5BE7" w:rsidRDefault="00FE5BE7">
      <w:r>
        <w:separator/>
      </w:r>
    </w:p>
  </w:footnote>
  <w:footnote w:type="continuationSeparator" w:id="0">
    <w:p w14:paraId="2686EA7D" w14:textId="77777777" w:rsidR="00FE5BE7" w:rsidRDefault="00FE5B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378551655">
    <w:abstractNumId w:val="8"/>
  </w:num>
  <w:num w:numId="2" w16cid:durableId="292370616">
    <w:abstractNumId w:val="8"/>
  </w:num>
  <w:num w:numId="3" w16cid:durableId="919142717">
    <w:abstractNumId w:val="7"/>
  </w:num>
  <w:num w:numId="4" w16cid:durableId="757290238">
    <w:abstractNumId w:val="7"/>
  </w:num>
  <w:num w:numId="5" w16cid:durableId="1817449017">
    <w:abstractNumId w:val="10"/>
  </w:num>
  <w:num w:numId="6" w16cid:durableId="1386681425">
    <w:abstractNumId w:val="11"/>
  </w:num>
  <w:num w:numId="7" w16cid:durableId="585919068">
    <w:abstractNumId w:val="12"/>
  </w:num>
  <w:num w:numId="8" w16cid:durableId="1967421404">
    <w:abstractNumId w:val="9"/>
  </w:num>
  <w:num w:numId="9" w16cid:durableId="51126529">
    <w:abstractNumId w:val="6"/>
  </w:num>
  <w:num w:numId="10" w16cid:durableId="723140806">
    <w:abstractNumId w:val="5"/>
  </w:num>
  <w:num w:numId="11" w16cid:durableId="1804542082">
    <w:abstractNumId w:val="4"/>
  </w:num>
  <w:num w:numId="12" w16cid:durableId="1923295614">
    <w:abstractNumId w:val="3"/>
  </w:num>
  <w:num w:numId="13" w16cid:durableId="1299998236">
    <w:abstractNumId w:val="2"/>
  </w:num>
  <w:num w:numId="14" w16cid:durableId="428698163">
    <w:abstractNumId w:val="1"/>
  </w:num>
  <w:num w:numId="15" w16cid:durableId="1230462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54"/>
    <w:rsid w:val="00010503"/>
    <w:rsid w:val="00033AE7"/>
    <w:rsid w:val="000C4800"/>
    <w:rsid w:val="000E3654"/>
    <w:rsid w:val="001E7D82"/>
    <w:rsid w:val="003C134C"/>
    <w:rsid w:val="005F6E08"/>
    <w:rsid w:val="00E41B6D"/>
    <w:rsid w:val="00E623A6"/>
    <w:rsid w:val="00F17D18"/>
    <w:rsid w:val="00F540AD"/>
    <w:rsid w:val="00FE5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42A792"/>
  <w15:chartTrackingRefBased/>
  <w15:docId w15:val="{06113D00-66C0-4560-A8E7-6825F80EF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E365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452</Words>
  <Characters>2353</Characters>
  <Application>Microsoft Office Word</Application>
  <DocSecurity>0</DocSecurity>
  <Lines>42</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40-360.26; Damage of underground facility; liability to owner; homeowner and tenant exemption</dc:title>
  <dc:subject>Damage of underground facility; liability to owner; homeowner and tenant exemption</dc:subject>
  <dc:creator>Arizona Legislative Council</dc:creator>
  <cp:keywords/>
  <dc:description>0147.docx - 572R - 2026</dc:description>
  <cp:lastModifiedBy>dbupdate</cp:lastModifiedBy>
  <cp:revision>2</cp:revision>
  <dcterms:created xsi:type="dcterms:W3CDTF">2026-09-10T02:37:00Z</dcterms:created>
  <dcterms:modified xsi:type="dcterms:W3CDTF">2026-09-10T02:37:00Z</dcterms:modified>
</cp:coreProperties>
</file>