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F9586F" w14:textId="77777777" w:rsidR="007A2820" w:rsidRPr="00995612" w:rsidRDefault="007A2820" w:rsidP="007A2820">
      <w:pPr>
        <w:pStyle w:val="SEC06-21"/>
        <w:rPr>
          <w:rFonts w:ascii="Courier New" w:hAnsi="Courier New"/>
        </w:rPr>
      </w:pPr>
      <w:r w:rsidRPr="00995612">
        <w:rPr>
          <w:rFonts w:ascii="Courier New" w:hAnsi="Courier New"/>
          <w:vanish/>
        </w:rPr>
        <w:fldChar w:fldCharType="begin"/>
      </w:r>
      <w:r w:rsidRPr="00995612">
        <w:rPr>
          <w:rFonts w:ascii="Courier New" w:hAnsi="Courier New"/>
          <w:vanish/>
        </w:rPr>
        <w:instrText xml:space="preserve"> COMMENTS START_STATUTE \* MERGEFORMAT </w:instrText>
      </w:r>
      <w:r w:rsidRPr="00995612">
        <w:rPr>
          <w:rFonts w:ascii="Courier New" w:hAnsi="Courier New"/>
          <w:vanish/>
        </w:rPr>
        <w:fldChar w:fldCharType="separate"/>
      </w:r>
      <w:r w:rsidRPr="00995612">
        <w:rPr>
          <w:rFonts w:ascii="Courier New" w:hAnsi="Courier New"/>
          <w:vanish/>
        </w:rPr>
        <w:t>START_STATUTE</w:t>
      </w:r>
      <w:r w:rsidRPr="00995612">
        <w:rPr>
          <w:rFonts w:ascii="Courier New" w:hAnsi="Courier New"/>
          <w:vanish/>
        </w:rPr>
        <w:fldChar w:fldCharType="end"/>
      </w:r>
      <w:r w:rsidRPr="00995612">
        <w:rPr>
          <w:rStyle w:val="SNUM"/>
          <w:rFonts w:ascii="Courier New" w:hAnsi="Courier New"/>
        </w:rPr>
        <w:t>36-2999.54.</w:t>
      </w:r>
      <w:r w:rsidRPr="00995612">
        <w:rPr>
          <w:rFonts w:ascii="Courier New" w:hAnsi="Courier New"/>
        </w:rPr>
        <w:t>  </w:t>
      </w:r>
      <w:r w:rsidRPr="00995612">
        <w:rPr>
          <w:rStyle w:val="SECHEAD"/>
          <w:rFonts w:ascii="Courier New" w:hAnsi="Courier New"/>
        </w:rPr>
        <w:t>Assessments; failure to pay; suspension or revocation</w:t>
      </w:r>
    </w:p>
    <w:p w14:paraId="20C27F7B" w14:textId="77777777" w:rsidR="00AF6A8A" w:rsidRPr="00995612" w:rsidRDefault="00AF6A8A" w:rsidP="007A2820">
      <w:pPr>
        <w:pStyle w:val="P06-00"/>
        <w:rPr>
          <w:rFonts w:ascii="Courier New" w:hAnsi="Courier New"/>
        </w:rPr>
      </w:pPr>
    </w:p>
    <w:p w14:paraId="60A14D66" w14:textId="77777777" w:rsidR="00AF6A8A" w:rsidRPr="00995612" w:rsidRDefault="00AF6A8A" w:rsidP="007A2820">
      <w:pPr>
        <w:pStyle w:val="P06-00"/>
        <w:rPr>
          <w:rFonts w:ascii="Courier New" w:hAnsi="Courier New"/>
        </w:rPr>
      </w:pPr>
      <w:r w:rsidRPr="00995612">
        <w:rPr>
          <w:rFonts w:ascii="Courier New" w:hAnsi="Courier New"/>
        </w:rPr>
        <w:t>(Rpld. 10/1/</w:t>
      </w:r>
      <w:r w:rsidR="004E39F5" w:rsidRPr="00995612">
        <w:rPr>
          <w:rFonts w:ascii="Courier New" w:hAnsi="Courier New"/>
        </w:rPr>
        <w:t>31</w:t>
      </w:r>
      <w:r w:rsidRPr="00995612">
        <w:rPr>
          <w:rFonts w:ascii="Courier New" w:hAnsi="Courier New"/>
        </w:rPr>
        <w:t>)</w:t>
      </w:r>
    </w:p>
    <w:p w14:paraId="27233958" w14:textId="77777777" w:rsidR="00AF6A8A" w:rsidRPr="00995612" w:rsidRDefault="00AF6A8A" w:rsidP="007A2820">
      <w:pPr>
        <w:pStyle w:val="P06-00"/>
        <w:rPr>
          <w:rFonts w:ascii="Courier New" w:hAnsi="Courier New"/>
        </w:rPr>
      </w:pPr>
    </w:p>
    <w:p w14:paraId="0D5B9F0B" w14:textId="77777777" w:rsidR="007A2820" w:rsidRPr="00995612" w:rsidRDefault="007A2820" w:rsidP="007A2820">
      <w:pPr>
        <w:pStyle w:val="P06-00"/>
        <w:rPr>
          <w:rFonts w:ascii="Courier New" w:hAnsi="Courier New"/>
        </w:rPr>
      </w:pPr>
      <w:r w:rsidRPr="00995612">
        <w:rPr>
          <w:rFonts w:ascii="Courier New" w:hAnsi="Courier New"/>
        </w:rPr>
        <w:t>A.  Each nursing facility shall pay a quality assessment as prescribed pursuant to this article.  The administration shall determine the assessment rate prospectively for the applicable fiscal year on a per resident day basis, exclusive of medicare resident days.  The administration shall adopt rules for facility reporting of nonmedicare resident days and for payment of the assessment.</w:t>
      </w:r>
    </w:p>
    <w:p w14:paraId="0EF113B5" w14:textId="77777777" w:rsidR="007A2820" w:rsidRPr="00995612" w:rsidRDefault="007A2820" w:rsidP="007A2820">
      <w:pPr>
        <w:pStyle w:val="P06-00"/>
        <w:rPr>
          <w:rFonts w:ascii="Courier New" w:hAnsi="Courier New"/>
        </w:rPr>
      </w:pPr>
      <w:r w:rsidRPr="00995612">
        <w:rPr>
          <w:rFonts w:ascii="Courier New" w:hAnsi="Courier New"/>
        </w:rPr>
        <w:t>B.  A nursing facility may increase its charges to other payors to incorporate the assessment but may not establish a separate line-item charge on the bill reflecting the assessment.</w:t>
      </w:r>
    </w:p>
    <w:p w14:paraId="518DCEC2" w14:textId="77777777" w:rsidR="007A2820" w:rsidRPr="00995612" w:rsidRDefault="007A2820" w:rsidP="007A2820">
      <w:pPr>
        <w:pStyle w:val="P06-00"/>
        <w:rPr>
          <w:rFonts w:ascii="Courier New" w:hAnsi="Courier New"/>
        </w:rPr>
      </w:pPr>
      <w:r w:rsidRPr="00995612">
        <w:rPr>
          <w:rFonts w:ascii="Courier New" w:hAnsi="Courier New"/>
        </w:rPr>
        <w:t xml:space="preserve">C.  If an entity conducts, operates or maintains more than one nursing facility, the entity must pay a quality assessment for each nursing facility separately. </w:t>
      </w:r>
    </w:p>
    <w:p w14:paraId="4841D7AC" w14:textId="77777777" w:rsidR="007A2820" w:rsidRPr="00995612" w:rsidRDefault="007A2820" w:rsidP="007A2820">
      <w:pPr>
        <w:pStyle w:val="P06-00"/>
        <w:rPr>
          <w:rFonts w:ascii="Courier New" w:hAnsi="Courier New"/>
        </w:rPr>
      </w:pPr>
      <w:r w:rsidRPr="00995612">
        <w:rPr>
          <w:rFonts w:ascii="Courier New" w:hAnsi="Courier New"/>
        </w:rPr>
        <w:t>D.  If a nursing facility does not pay the full amount of the assessment when due, the director of the Arizona health care cost containment system administration may suspend or revoke the nursing facility's Arizona health care cost containment system pr</w:t>
      </w:r>
      <w:r w:rsidR="00AD5729" w:rsidRPr="00995612">
        <w:rPr>
          <w:rFonts w:ascii="Courier New" w:hAnsi="Courier New"/>
        </w:rPr>
        <w:t xml:space="preserve">ovider agreement registration.  </w:t>
      </w:r>
      <w:r w:rsidRPr="00995612">
        <w:rPr>
          <w:rFonts w:ascii="Courier New" w:hAnsi="Courier New"/>
        </w:rPr>
        <w:t>If the nursing facility does not comply within one hundred eighty days after the director of the Arizona health care cost containment system administration suspends or revokes the nursing facility's provider agreement, the director of the Arizona health care cost containment system administration shall notify the director of the department of health services, who shall suspend or revoke the nursing facility's license pursuant to section 36</w:t>
      </w:r>
      <w:r w:rsidRPr="00995612">
        <w:rPr>
          <w:rFonts w:ascii="Courier New" w:hAnsi="Courier New"/>
        </w:rPr>
        <w:noBreakHyphen/>
        <w:t>427.</w:t>
      </w:r>
      <w:r w:rsidRPr="00995612">
        <w:rPr>
          <w:rFonts w:ascii="Courier New" w:hAnsi="Courier New"/>
          <w:vanish/>
        </w:rPr>
        <w:fldChar w:fldCharType="begin"/>
      </w:r>
      <w:r w:rsidRPr="00995612">
        <w:rPr>
          <w:rFonts w:ascii="Courier New" w:hAnsi="Courier New"/>
          <w:vanish/>
        </w:rPr>
        <w:instrText xml:space="preserve"> COMMENTS END_STATUTE \* MERGEFORMAT </w:instrText>
      </w:r>
      <w:r w:rsidRPr="00995612">
        <w:rPr>
          <w:rFonts w:ascii="Courier New" w:hAnsi="Courier New"/>
          <w:vanish/>
        </w:rPr>
        <w:fldChar w:fldCharType="separate"/>
      </w:r>
      <w:r w:rsidRPr="00995612">
        <w:rPr>
          <w:rFonts w:ascii="Courier New" w:hAnsi="Courier New"/>
          <w:vanish/>
        </w:rPr>
        <w:t>END_STATUTE</w:t>
      </w:r>
      <w:r w:rsidRPr="00995612">
        <w:rPr>
          <w:rFonts w:ascii="Courier New" w:hAnsi="Courier New"/>
          <w:vanish/>
        </w:rPr>
        <w:fldChar w:fldCharType="end"/>
      </w:r>
    </w:p>
    <w:p w14:paraId="20FBAA3E" w14:textId="77777777" w:rsidR="007A2820" w:rsidRPr="00995612" w:rsidRDefault="007A2820" w:rsidP="007A2820">
      <w:pPr>
        <w:rPr>
          <w:rFonts w:ascii="Courier New" w:hAnsi="Courier New"/>
        </w:rPr>
      </w:pPr>
    </w:p>
    <w:sectPr w:rsidR="007A2820" w:rsidRPr="00995612" w:rsidSect="007A2820">
      <w:type w:val="continuous"/>
      <w:pgSz w:w="12240" w:h="15840"/>
      <w:pgMar w:top="1440" w:right="1440" w:bottom="1440" w:left="187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62812" w14:textId="77777777" w:rsidR="00FF1F28" w:rsidRDefault="00FF1F28">
      <w:r>
        <w:separator/>
      </w:r>
    </w:p>
  </w:endnote>
  <w:endnote w:type="continuationSeparator" w:id="0">
    <w:p w14:paraId="5E8FFD1D" w14:textId="77777777" w:rsidR="00FF1F28" w:rsidRDefault="00FF1F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ECE4F" w14:textId="77777777" w:rsidR="00FF1F28" w:rsidRDefault="00FF1F28">
      <w:r>
        <w:separator/>
      </w:r>
    </w:p>
  </w:footnote>
  <w:footnote w:type="continuationSeparator" w:id="0">
    <w:p w14:paraId="7EE24E10" w14:textId="77777777" w:rsidR="00FF1F28" w:rsidRDefault="00FF1F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583495570">
    <w:abstractNumId w:val="1"/>
  </w:num>
  <w:num w:numId="2" w16cid:durableId="169412351">
    <w:abstractNumId w:val="1"/>
  </w:num>
  <w:num w:numId="3" w16cid:durableId="631255753">
    <w:abstractNumId w:val="0"/>
  </w:num>
  <w:num w:numId="4" w16cid:durableId="20741599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820"/>
    <w:rsid w:val="004C3B52"/>
    <w:rsid w:val="004E39F5"/>
    <w:rsid w:val="006F3F25"/>
    <w:rsid w:val="007A2820"/>
    <w:rsid w:val="00995612"/>
    <w:rsid w:val="00AD5729"/>
    <w:rsid w:val="00AF6A8A"/>
    <w:rsid w:val="00C85B3C"/>
    <w:rsid w:val="00F540AD"/>
    <w:rsid w:val="00FF1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6BCC58CE"/>
  <w15:chartTrackingRefBased/>
  <w15:docId w15:val="{6DD1C5EE-BA92-49C1-886D-797F20FFD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rPr>
      <w:color w:val="800080"/>
      <w:u w:val="single"/>
    </w:rPr>
  </w:style>
  <w:style w:type="character" w:customStyle="1" w:styleId="SNUM">
    <w:name w:val="SNUM"/>
    <w:rPr>
      <w:color w:val="008000"/>
    </w:rPr>
  </w:style>
  <w:style w:type="character" w:customStyle="1" w:styleId="SPONSORS">
    <w:name w:val="SPONSORS"/>
  </w:style>
  <w:style w:type="character" w:customStyle="1" w:styleId="TITLE">
    <w:name w:val="TITLE"/>
    <w:rPr>
      <w:caps/>
      <w:color w:val="0000FF"/>
    </w:rPr>
  </w:style>
  <w:style w:type="character" w:customStyle="1" w:styleId="UP">
    <w:name w:val="UP"/>
    <w:rPr>
      <w:caps/>
      <w:noProof w:val="0"/>
      <w:color w:val="0000FF"/>
      <w:lang w:val="en-US"/>
    </w:rPr>
  </w:style>
  <w:style w:type="character" w:customStyle="1" w:styleId="P06-00Char">
    <w:name w:val="P 06-00 Char"/>
    <w:link w:val="P06-00"/>
    <w:rsid w:val="007A2820"/>
    <w:rPr>
      <w:rFonts w:ascii="Letter-Gothic-Drafting" w:hAnsi="Letter-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247</Words>
  <Characters>1412</Characters>
  <Application>Microsoft Office Word</Application>
  <DocSecurity>0</DocSecurity>
  <Lines>29</Lines>
  <Paragraphs>7</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36-2999.54; Assessments; failure to pay; suspension or revocation</dc:title>
  <dc:subject>Assessments; failure to pay; suspension or revocation</dc:subject>
  <dc:creator>Arizona Legislative Council</dc:creator>
  <cp:keywords/>
  <dc:description>0039.doc - 521R - 2015</dc:description>
  <cp:lastModifiedBy>dbupdate</cp:lastModifiedBy>
  <cp:revision>2</cp:revision>
  <cp:lastPrinted>2015-06-19T19:34:00Z</cp:lastPrinted>
  <dcterms:created xsi:type="dcterms:W3CDTF">2025-09-21T02:17:00Z</dcterms:created>
  <dcterms:modified xsi:type="dcterms:W3CDTF">2025-09-21T02:17:00Z</dcterms:modified>
</cp:coreProperties>
</file>