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0348660"/>
    <w:p w14:paraId="12A43E55" w14:textId="58B035DD" w:rsidR="00B60F02" w:rsidRPr="000A4662" w:rsidRDefault="00B60F02" w:rsidP="00B60F02">
      <w:pPr>
        <w:pStyle w:val="SEC06-18"/>
        <w:rPr>
          <w:rStyle w:val="SECHEAD"/>
          <w:rFonts w:ascii="Courier New" w:hAnsi="Courier New" w:cs="Courier New"/>
        </w:rPr>
      </w:pPr>
      <w:r w:rsidRPr="000A4662">
        <w:rPr>
          <w:rFonts w:ascii="Courier New" w:hAnsi="Courier New" w:cs="Courier New"/>
        </w:rPr>
        <w:fldChar w:fldCharType="begin"/>
      </w:r>
      <w:r w:rsidRPr="000A4662">
        <w:rPr>
          <w:rFonts w:ascii="Courier New" w:hAnsi="Courier New" w:cs="Courier New"/>
        </w:rPr>
        <w:instrText xml:space="preserve"> COMMENTS START_STATUTE \* MERGEFORMAT </w:instrText>
      </w:r>
      <w:r w:rsidRPr="000A4662">
        <w:rPr>
          <w:rFonts w:ascii="Courier New" w:hAnsi="Courier New" w:cs="Courier New"/>
        </w:rPr>
        <w:fldChar w:fldCharType="separate"/>
      </w:r>
      <w:r w:rsidRPr="000A4662">
        <w:rPr>
          <w:rFonts w:ascii="Courier New" w:hAnsi="Courier New" w:cs="Courier New"/>
          <w:vanish/>
        </w:rPr>
        <w:t>START_STATUTE</w:t>
      </w:r>
      <w:r w:rsidRPr="000A4662">
        <w:rPr>
          <w:rFonts w:ascii="Courier New" w:hAnsi="Courier New" w:cs="Courier New"/>
        </w:rPr>
        <w:fldChar w:fldCharType="end"/>
      </w:r>
      <w:r w:rsidRPr="000A4662">
        <w:rPr>
          <w:rStyle w:val="SNUM"/>
          <w:rFonts w:ascii="Courier New" w:hAnsi="Courier New" w:cs="Courier New"/>
        </w:rPr>
        <w:t>36-2606</w:t>
      </w:r>
      <w:r w:rsidRPr="000A4662">
        <w:rPr>
          <w:rFonts w:ascii="Courier New" w:hAnsi="Courier New" w:cs="Courier New"/>
        </w:rPr>
        <w:t>.  </w:t>
      </w:r>
      <w:r w:rsidRPr="000A4662">
        <w:rPr>
          <w:rStyle w:val="SECHEAD"/>
          <w:rFonts w:ascii="Courier New" w:hAnsi="Courier New" w:cs="Courier New"/>
        </w:rPr>
        <w:t>Registration; access; requirements; mandatory use; annual user satisfaction survey; report; definitions</w:t>
      </w:r>
    </w:p>
    <w:p w14:paraId="41F7FCA6" w14:textId="77777777" w:rsidR="00B60F02" w:rsidRPr="000A4662" w:rsidRDefault="00B60F02" w:rsidP="00B60F02">
      <w:pPr>
        <w:pStyle w:val="P06-00"/>
        <w:rPr>
          <w:rFonts w:ascii="Courier New" w:hAnsi="Courier New" w:cs="Courier New"/>
        </w:rPr>
      </w:pPr>
      <w:r w:rsidRPr="000A4662">
        <w:rPr>
          <w:rFonts w:ascii="Courier New" w:hAnsi="Courier New" w:cs="Courier New"/>
        </w:rPr>
        <w:t>A.  A medical practitioner regulatory board shall notify each medical practitioner who receives an initial or renewal license and who intends to apply for registration or has an active registration under the controlled substances act (21 United States Code sections 801 through 904) of the medical practitioner's responsibility to register with the Arizona state board of pharmacy and be granted access to the controlled substances prescription monitoring program's central database tracking system.  The Arizona state board of pharmacy shall provide access to the central database tracking system to each medical practitioner who has a valid license pursuant to title 32 and who possesses an Arizona registration under the controlled substances act (21 United States Code sections 801 through 904).  The Arizona state board of pharmacy shall notify each pharmacist of the pharmacist's responsibility to register with the Arizona state board of pharmacy and be granted access to the controlled substances prescription monitoring program's central database tracking system.  The Arizona state board of pharmacy shall provide access to the central database tracking system to each pharmacist who has a valid license pursuant to title 32, chapter 18 and who is employed by either:</w:t>
      </w:r>
    </w:p>
    <w:p w14:paraId="61A4535E" w14:textId="77777777" w:rsidR="00B60F02" w:rsidRPr="000A4662" w:rsidRDefault="00B60F02" w:rsidP="00B60F02">
      <w:pPr>
        <w:pStyle w:val="P06-00"/>
        <w:rPr>
          <w:rFonts w:ascii="Courier New" w:hAnsi="Courier New" w:cs="Courier New"/>
        </w:rPr>
      </w:pPr>
      <w:r w:rsidRPr="000A4662">
        <w:rPr>
          <w:rFonts w:ascii="Courier New" w:hAnsi="Courier New" w:cs="Courier New"/>
        </w:rPr>
        <w:t>1.  A facility that has a valid United States drug enforcement administration registration number.</w:t>
      </w:r>
    </w:p>
    <w:p w14:paraId="781F243F" w14:textId="77777777" w:rsidR="00B60F02" w:rsidRPr="000A4662" w:rsidRDefault="00B60F02" w:rsidP="00B60F02">
      <w:pPr>
        <w:pStyle w:val="P06-00"/>
        <w:rPr>
          <w:rFonts w:ascii="Courier New" w:hAnsi="Courier New" w:cs="Courier New"/>
        </w:rPr>
      </w:pPr>
      <w:r w:rsidRPr="000A4662">
        <w:rPr>
          <w:rFonts w:ascii="Courier New" w:hAnsi="Courier New" w:cs="Courier New"/>
        </w:rPr>
        <w:t>2.  The administration, a contractor or a health care insurer and who has a national provider identifier number.</w:t>
      </w:r>
    </w:p>
    <w:p w14:paraId="5DBE82B1" w14:textId="77777777" w:rsidR="00B60F02" w:rsidRPr="000A4662" w:rsidRDefault="00B60F02" w:rsidP="00B60F02">
      <w:pPr>
        <w:pStyle w:val="P06-00"/>
        <w:rPr>
          <w:rFonts w:ascii="Courier New" w:hAnsi="Courier New" w:cs="Courier New"/>
        </w:rPr>
      </w:pPr>
      <w:r w:rsidRPr="000A4662">
        <w:rPr>
          <w:rFonts w:ascii="Courier New" w:hAnsi="Courier New" w:cs="Courier New"/>
        </w:rPr>
        <w:t>B.  The registration is:</w:t>
      </w:r>
    </w:p>
    <w:p w14:paraId="70A8993D" w14:textId="77777777" w:rsidR="00B60F02" w:rsidRPr="000A4662" w:rsidRDefault="00B60F02" w:rsidP="00B60F02">
      <w:pPr>
        <w:pStyle w:val="P06-00"/>
        <w:rPr>
          <w:rFonts w:ascii="Courier New" w:hAnsi="Courier New" w:cs="Courier New"/>
        </w:rPr>
      </w:pPr>
      <w:r w:rsidRPr="000A4662">
        <w:rPr>
          <w:rFonts w:ascii="Courier New" w:hAnsi="Courier New" w:cs="Courier New"/>
        </w:rPr>
        <w:t xml:space="preserve">1.  Valid in conjunction with a valid United States drug enforcement administration registration number and a valid license issued by a medical practitioner regulatory board established pursuant to title 32, chapter 7, 11, 13, 14, 15, 16, 17, 25 or 29. </w:t>
      </w:r>
    </w:p>
    <w:p w14:paraId="0F0BAA4E" w14:textId="77777777" w:rsidR="00B60F02" w:rsidRPr="000A4662" w:rsidRDefault="00B60F02" w:rsidP="00B60F02">
      <w:pPr>
        <w:pStyle w:val="P06-00"/>
        <w:rPr>
          <w:rFonts w:ascii="Courier New" w:hAnsi="Courier New" w:cs="Courier New"/>
        </w:rPr>
      </w:pPr>
      <w:r w:rsidRPr="000A4662">
        <w:rPr>
          <w:rFonts w:ascii="Courier New" w:hAnsi="Courier New" w:cs="Courier New"/>
        </w:rPr>
        <w:t>2.  Valid in conjunction with a valid license issued by the Arizona state board of pharmacy for a pharmacist who is employed by either:</w:t>
      </w:r>
    </w:p>
    <w:p w14:paraId="4D91309A" w14:textId="77777777" w:rsidR="00B60F02" w:rsidRPr="000A4662" w:rsidRDefault="00B60F02" w:rsidP="00B60F02">
      <w:pPr>
        <w:pStyle w:val="P06-00"/>
        <w:rPr>
          <w:rFonts w:ascii="Courier New" w:hAnsi="Courier New" w:cs="Courier New"/>
        </w:rPr>
      </w:pPr>
      <w:r w:rsidRPr="000A4662">
        <w:rPr>
          <w:rFonts w:ascii="Courier New" w:hAnsi="Courier New" w:cs="Courier New"/>
        </w:rPr>
        <w:t>(a)  A facility that has a valid United States drug enforcement administration registration number.</w:t>
      </w:r>
    </w:p>
    <w:p w14:paraId="56025B9C" w14:textId="77777777" w:rsidR="00B60F02" w:rsidRPr="000A4662" w:rsidRDefault="00B60F02" w:rsidP="00B60F02">
      <w:pPr>
        <w:pStyle w:val="P06-00"/>
        <w:rPr>
          <w:rFonts w:ascii="Courier New" w:hAnsi="Courier New" w:cs="Courier New"/>
        </w:rPr>
      </w:pPr>
      <w:r w:rsidRPr="000A4662">
        <w:rPr>
          <w:rFonts w:ascii="Courier New" w:hAnsi="Courier New" w:cs="Courier New"/>
        </w:rPr>
        <w:t>(b)  The administration, a contractor or a health care insurer and who has a national provider identifier number.</w:t>
      </w:r>
    </w:p>
    <w:p w14:paraId="33815D71" w14:textId="77777777" w:rsidR="00B60F02" w:rsidRPr="000A4662" w:rsidRDefault="00B60F02" w:rsidP="00B60F02">
      <w:pPr>
        <w:pStyle w:val="P06-00"/>
        <w:rPr>
          <w:rFonts w:ascii="Courier New" w:hAnsi="Courier New" w:cs="Courier New"/>
        </w:rPr>
      </w:pPr>
      <w:r w:rsidRPr="000A4662">
        <w:rPr>
          <w:rFonts w:ascii="Courier New" w:hAnsi="Courier New" w:cs="Courier New"/>
        </w:rPr>
        <w:t>3.  Not transferable or assignable.</w:t>
      </w:r>
    </w:p>
    <w:p w14:paraId="04EA95DD" w14:textId="77777777" w:rsidR="00B60F02" w:rsidRPr="000A4662" w:rsidRDefault="00B60F02" w:rsidP="00B60F02">
      <w:pPr>
        <w:pStyle w:val="P06-00"/>
        <w:rPr>
          <w:rFonts w:ascii="Courier New" w:hAnsi="Courier New" w:cs="Courier New"/>
        </w:rPr>
      </w:pPr>
      <w:r w:rsidRPr="000A4662">
        <w:rPr>
          <w:rFonts w:ascii="Courier New" w:hAnsi="Courier New" w:cs="Courier New"/>
        </w:rPr>
        <w:t>C.  An applicant for registration pursuant to this section must apply as prescribed by the board.</w:t>
      </w:r>
    </w:p>
    <w:p w14:paraId="368402A6" w14:textId="77777777" w:rsidR="00B60F02" w:rsidRPr="000A4662" w:rsidRDefault="00B60F02" w:rsidP="00B60F02">
      <w:pPr>
        <w:pStyle w:val="P06-00"/>
        <w:keepNext/>
        <w:keepLines/>
        <w:rPr>
          <w:rFonts w:ascii="Courier New" w:hAnsi="Courier New" w:cs="Courier New"/>
        </w:rPr>
      </w:pPr>
      <w:r w:rsidRPr="000A4662">
        <w:rPr>
          <w:rFonts w:ascii="Courier New" w:hAnsi="Courier New" w:cs="Courier New"/>
        </w:rPr>
        <w:t>D.  Pursuant to a fee prescribed by the board by rule, the board may issue a replacement registration to a registrant who requests a replacement because the original was damaged or destroyed, because of a change of name or for any other good cause as prescribed by the board.</w:t>
      </w:r>
    </w:p>
    <w:p w14:paraId="01665919" w14:textId="77777777" w:rsidR="00B60F02" w:rsidRPr="000A4662" w:rsidRDefault="00B60F02" w:rsidP="00B60F02">
      <w:pPr>
        <w:pStyle w:val="P06-00"/>
        <w:rPr>
          <w:rFonts w:ascii="Courier New" w:hAnsi="Courier New" w:cs="Courier New"/>
        </w:rPr>
      </w:pPr>
      <w:r w:rsidRPr="000A4662">
        <w:rPr>
          <w:rFonts w:ascii="Courier New" w:hAnsi="Courier New" w:cs="Courier New"/>
        </w:rPr>
        <w:t>E.  A person who is authorized to access the controlled substances prescription monitoring program's central database tracking system may do so using only that person's assigned identifier and may not use the assigned identifier of another person.</w:t>
      </w:r>
    </w:p>
    <w:p w14:paraId="4E74CFCD" w14:textId="77777777" w:rsidR="00B60F02" w:rsidRPr="000A4662" w:rsidRDefault="00B60F02" w:rsidP="00B60F02">
      <w:pPr>
        <w:pStyle w:val="P06-00"/>
        <w:rPr>
          <w:rFonts w:ascii="Courier New" w:hAnsi="Courier New" w:cs="Courier New"/>
        </w:rPr>
      </w:pPr>
      <w:r w:rsidRPr="000A4662">
        <w:rPr>
          <w:rFonts w:ascii="Courier New" w:hAnsi="Courier New" w:cs="Courier New"/>
        </w:rPr>
        <w:t>F.  Beginning the later of October 1, 2017 or sixty days after the statewide health information exchange has integrated the controlled substances prescription monitoring program data into the exchange, a medical practitioner, before prescribing an opioid analgesic or benzodiazepine controlled substance listed in schedule II, III or IV for a patient, shall obtain a patient utilization report regarding the patient for the preceding twelve months from the controlled substances prescription monitoring program's central database tracking system at the beginning of each new course of treatment and at least quarterly while that prescription remains a part of the treatment.  Each medical practitioner regulatory board shall notify the medical practitioners licensed by that board of the applicable date.  A medical practitioner may be granted a one</w:t>
      </w:r>
      <w:r w:rsidRPr="000A4662">
        <w:rPr>
          <w:rFonts w:ascii="Courier New" w:hAnsi="Courier New" w:cs="Courier New"/>
        </w:rPr>
        <w:noBreakHyphen/>
        <w:t>year waiver from the requirement in this subsection due to technological limitations that are not reasonably within the control of the practitioner or other exceptional circumstances demonstrated by the practitioner, pursuant to a process established by rule by the Arizona state board of pharmacy.</w:t>
      </w:r>
    </w:p>
    <w:p w14:paraId="7254BC65" w14:textId="77777777" w:rsidR="00B60F02" w:rsidRPr="000A4662" w:rsidRDefault="00B60F02" w:rsidP="00B60F02">
      <w:pPr>
        <w:pStyle w:val="P06-00"/>
        <w:rPr>
          <w:rFonts w:ascii="Courier New" w:hAnsi="Courier New" w:cs="Courier New"/>
        </w:rPr>
      </w:pPr>
      <w:r w:rsidRPr="000A4662">
        <w:rPr>
          <w:rFonts w:ascii="Courier New" w:hAnsi="Courier New" w:cs="Courier New"/>
        </w:rPr>
        <w:t>G.  Before a pharmacist dispenses or before a pharmacy technician or pharmacy intern of a remote dispensing site pharmacy dispenses a schedule II controlled substance, a dispenser shall obtain a patient utilization report regarding the patient for the preceding twelve months from the controlled substances prescription monitoring program's central database tracking system at the beginning of each new course of treatment.  </w:t>
      </w:r>
    </w:p>
    <w:p w14:paraId="37CC5A97" w14:textId="77777777" w:rsidR="00B60F02" w:rsidRPr="000A4662" w:rsidRDefault="00B60F02" w:rsidP="00B60F02">
      <w:pPr>
        <w:pStyle w:val="P06-00"/>
        <w:rPr>
          <w:rFonts w:ascii="Courier New" w:hAnsi="Courier New" w:cs="Courier New"/>
        </w:rPr>
      </w:pPr>
      <w:r w:rsidRPr="000A4662">
        <w:rPr>
          <w:rFonts w:ascii="Courier New" w:hAnsi="Courier New" w:cs="Courier New"/>
        </w:rPr>
        <w:t>H.  The medical practitioner or dispenser is not required to obtain a patient utilization report from the central database tracking system pursuant to subsection F of this section if any of the following applies:</w:t>
      </w:r>
    </w:p>
    <w:p w14:paraId="35BC1BE9" w14:textId="77777777" w:rsidR="00B60F02" w:rsidRPr="000A4662" w:rsidRDefault="00B60F02" w:rsidP="00B60F02">
      <w:pPr>
        <w:pStyle w:val="P06-00"/>
        <w:rPr>
          <w:rFonts w:ascii="Courier New" w:hAnsi="Courier New" w:cs="Courier New"/>
        </w:rPr>
      </w:pPr>
      <w:r w:rsidRPr="000A4662">
        <w:rPr>
          <w:rFonts w:ascii="Courier New" w:hAnsi="Courier New" w:cs="Courier New"/>
        </w:rPr>
        <w:t xml:space="preserve">1.  The patient is receiving hospice care or palliative care for a serious or chronic illness. </w:t>
      </w:r>
    </w:p>
    <w:p w14:paraId="0C87974F" w14:textId="77777777" w:rsidR="00B60F02" w:rsidRPr="000A4662" w:rsidRDefault="00B60F02" w:rsidP="00B60F02">
      <w:pPr>
        <w:pStyle w:val="P06-00"/>
        <w:rPr>
          <w:rFonts w:ascii="Courier New" w:hAnsi="Courier New" w:cs="Courier New"/>
        </w:rPr>
      </w:pPr>
      <w:r w:rsidRPr="000A4662">
        <w:rPr>
          <w:rFonts w:ascii="Courier New" w:hAnsi="Courier New" w:cs="Courier New"/>
        </w:rPr>
        <w:t>2.  The patient is receiving care for cancer, a cancer</w:t>
      </w:r>
      <w:r w:rsidRPr="000A4662">
        <w:rPr>
          <w:rFonts w:ascii="Courier New" w:hAnsi="Courier New" w:cs="Courier New"/>
        </w:rPr>
        <w:noBreakHyphen/>
        <w:t xml:space="preserve">related illness or condition or dialysis treatment. </w:t>
      </w:r>
    </w:p>
    <w:p w14:paraId="48C4671F" w14:textId="77777777" w:rsidR="00B60F02" w:rsidRPr="000A4662" w:rsidRDefault="00B60F02" w:rsidP="00B60F02">
      <w:pPr>
        <w:pStyle w:val="P06-00"/>
        <w:rPr>
          <w:rFonts w:ascii="Courier New" w:hAnsi="Courier New" w:cs="Courier New"/>
        </w:rPr>
      </w:pPr>
      <w:r w:rsidRPr="000A4662">
        <w:rPr>
          <w:rFonts w:ascii="Courier New" w:hAnsi="Courier New" w:cs="Courier New"/>
        </w:rPr>
        <w:t>3.  A medical practitioner will administer the controlled substance.</w:t>
      </w:r>
    </w:p>
    <w:p w14:paraId="31B4FDA9" w14:textId="77777777" w:rsidR="00B60F02" w:rsidRPr="000A4662" w:rsidRDefault="00B60F02" w:rsidP="00B60F02">
      <w:pPr>
        <w:pStyle w:val="P06-00"/>
        <w:rPr>
          <w:rFonts w:ascii="Courier New" w:hAnsi="Courier New" w:cs="Courier New"/>
        </w:rPr>
      </w:pPr>
      <w:r w:rsidRPr="000A4662">
        <w:rPr>
          <w:rFonts w:ascii="Courier New" w:hAnsi="Courier New" w:cs="Courier New"/>
        </w:rPr>
        <w:t xml:space="preserve">4.  The patient is receiving the controlled substance during the course of inpatient or residential treatment in a hospital, nursing care facility, assisted living facility, correctional facility or mental health facility. </w:t>
      </w:r>
    </w:p>
    <w:p w14:paraId="0773F75E" w14:textId="77777777" w:rsidR="00B60F02" w:rsidRPr="000A4662" w:rsidRDefault="00B60F02" w:rsidP="00B60F02">
      <w:pPr>
        <w:pStyle w:val="P06-00"/>
        <w:keepNext/>
        <w:keepLines/>
        <w:rPr>
          <w:rFonts w:ascii="Courier New" w:hAnsi="Courier New" w:cs="Courier New"/>
        </w:rPr>
      </w:pPr>
      <w:r w:rsidRPr="000A4662">
        <w:rPr>
          <w:rFonts w:ascii="Courier New" w:hAnsi="Courier New" w:cs="Courier New"/>
        </w:rPr>
        <w:t>5.  The medical practitioner is prescribing the controlled substance to the patient for not more than a five</w:t>
      </w:r>
      <w:r w:rsidRPr="000A4662">
        <w:rPr>
          <w:rFonts w:ascii="Courier New" w:hAnsi="Courier New" w:cs="Courier New"/>
        </w:rPr>
        <w:noBreakHyphen/>
        <w:t>day period for an invasive medical or dental procedure or a medical or dental procedure that results in acute pain to the patient.</w:t>
      </w:r>
    </w:p>
    <w:p w14:paraId="06E582C1" w14:textId="77777777" w:rsidR="00B60F02" w:rsidRPr="000A4662" w:rsidRDefault="00B60F02" w:rsidP="00B60F02">
      <w:pPr>
        <w:pStyle w:val="P06-00"/>
        <w:rPr>
          <w:rFonts w:ascii="Courier New" w:hAnsi="Courier New" w:cs="Courier New"/>
        </w:rPr>
      </w:pPr>
      <w:r w:rsidRPr="000A4662">
        <w:rPr>
          <w:rFonts w:ascii="Courier New" w:hAnsi="Courier New" w:cs="Courier New"/>
        </w:rPr>
        <w:t>6.  The medical practitioner is prescribing the controlled substance to the patient for not more than a five</w:t>
      </w:r>
      <w:r w:rsidRPr="000A4662">
        <w:rPr>
          <w:rFonts w:ascii="Courier New" w:hAnsi="Courier New" w:cs="Courier New"/>
        </w:rPr>
        <w:noBreakHyphen/>
        <w:t>day period for a patient who has suffered an acute injury or a medical or dental disease process that is diagnosed in an emergency department setting and that results in acute pain to the patient.  An acute injury or medical disease process does not include back pain.</w:t>
      </w:r>
    </w:p>
    <w:p w14:paraId="2DD5E308" w14:textId="72FD1F7F" w:rsidR="00B60F02" w:rsidRPr="000A4662" w:rsidRDefault="00B60F02" w:rsidP="00B60F02">
      <w:pPr>
        <w:pStyle w:val="P06-00"/>
        <w:rPr>
          <w:rFonts w:ascii="Courier New" w:hAnsi="Courier New" w:cs="Courier New"/>
        </w:rPr>
      </w:pPr>
      <w:r w:rsidRPr="000A4662">
        <w:rPr>
          <w:rFonts w:ascii="Courier New" w:hAnsi="Courier New" w:cs="Courier New"/>
        </w:rPr>
        <w:t xml:space="preserve">I.  On or before December 31, 2026, a vendor that provides electronic medical records services to a medical practitioner in this state shall integrate the vendor's electronic medical records system with the program's central database tracking system either directly or through the </w:t>
      </w:r>
      <w:r w:rsidR="008012DF" w:rsidRPr="000A4662">
        <w:rPr>
          <w:rFonts w:ascii="Courier New" w:hAnsi="Courier New" w:cs="Courier New"/>
        </w:rPr>
        <w:t xml:space="preserve">statewide health information </w:t>
      </w:r>
      <w:r w:rsidRPr="000A4662">
        <w:rPr>
          <w:rFonts w:ascii="Courier New" w:hAnsi="Courier New" w:cs="Courier New"/>
        </w:rPr>
        <w:t>exchange or a third</w:t>
      </w:r>
      <w:r w:rsidRPr="000A4662">
        <w:rPr>
          <w:rFonts w:ascii="Courier New" w:hAnsi="Courier New" w:cs="Courier New"/>
        </w:rPr>
        <w:noBreakHyphen/>
        <w:t>party vendor.</w:t>
      </w:r>
    </w:p>
    <w:p w14:paraId="0173773D" w14:textId="7FC9A325" w:rsidR="00B60F02" w:rsidRPr="000A4662" w:rsidRDefault="00B60F02" w:rsidP="00B60F02">
      <w:pPr>
        <w:pStyle w:val="P06-00"/>
        <w:rPr>
          <w:rFonts w:ascii="Courier New" w:hAnsi="Courier New" w:cs="Courier New"/>
        </w:rPr>
      </w:pPr>
      <w:r w:rsidRPr="000A4662">
        <w:rPr>
          <w:rFonts w:ascii="Courier New" w:hAnsi="Courier New" w:cs="Courier New"/>
        </w:rPr>
        <w:t>J.  If a medical practitioner or dispenser uses electronic medical records that integrate data from the controlled substances prescription monitoring program, a review of the electronic medical records with the integrated data shall be deemed compliant with the review of the program's central database tracking system as required in subsection F of this section.</w:t>
      </w:r>
    </w:p>
    <w:p w14:paraId="45B1FDA8" w14:textId="7E29A858" w:rsidR="00B60F02" w:rsidRPr="000A4662" w:rsidRDefault="00B60F02" w:rsidP="00B60F02">
      <w:pPr>
        <w:pStyle w:val="P06-00"/>
        <w:rPr>
          <w:rFonts w:ascii="Courier New" w:hAnsi="Courier New" w:cs="Courier New"/>
        </w:rPr>
      </w:pPr>
      <w:r w:rsidRPr="000A4662">
        <w:rPr>
          <w:rFonts w:ascii="Courier New" w:hAnsi="Courier New" w:cs="Courier New"/>
        </w:rPr>
        <w:t>K.  The board shall promote and enter into data sharing agreements to integrate and display patient utilization reports within electronic medical records.</w:t>
      </w:r>
    </w:p>
    <w:p w14:paraId="585CED19" w14:textId="7E3A4450" w:rsidR="00B60F02" w:rsidRPr="000A4662" w:rsidRDefault="00B60F02" w:rsidP="00B60F02">
      <w:pPr>
        <w:pStyle w:val="P06-00"/>
        <w:rPr>
          <w:rFonts w:ascii="Courier New" w:hAnsi="Courier New" w:cs="Courier New"/>
        </w:rPr>
      </w:pPr>
      <w:r w:rsidRPr="000A4662">
        <w:rPr>
          <w:rFonts w:ascii="Courier New" w:hAnsi="Courier New" w:cs="Courier New"/>
        </w:rPr>
        <w:t>L.  By complying with this section, a medical practitioner or dispenser who acts in good faith, or the medical practitioner's or dispenser's employer, is not subject to liability or disciplinary action arising solely from either:</w:t>
      </w:r>
    </w:p>
    <w:p w14:paraId="0000BFF0" w14:textId="77777777" w:rsidR="00B60F02" w:rsidRPr="000A4662" w:rsidRDefault="00B60F02" w:rsidP="00B60F02">
      <w:pPr>
        <w:pStyle w:val="P06-00"/>
        <w:rPr>
          <w:rFonts w:ascii="Courier New" w:hAnsi="Courier New" w:cs="Courier New"/>
        </w:rPr>
      </w:pPr>
      <w:r w:rsidRPr="000A4662">
        <w:rPr>
          <w:rFonts w:ascii="Courier New" w:hAnsi="Courier New" w:cs="Courier New"/>
        </w:rPr>
        <w:t>1.  Requesting or receiving, or failing to request or receive, prescription monitoring data from the program's central database tracking system.</w:t>
      </w:r>
    </w:p>
    <w:p w14:paraId="37D00439" w14:textId="77777777" w:rsidR="00B60F02" w:rsidRPr="000A4662" w:rsidRDefault="00B60F02" w:rsidP="00B60F02">
      <w:pPr>
        <w:pStyle w:val="P06-00"/>
        <w:rPr>
          <w:rFonts w:ascii="Courier New" w:hAnsi="Courier New" w:cs="Courier New"/>
        </w:rPr>
      </w:pPr>
      <w:r w:rsidRPr="000A4662">
        <w:rPr>
          <w:rFonts w:ascii="Courier New" w:hAnsi="Courier New" w:cs="Courier New"/>
        </w:rPr>
        <w:t>2.  Acting or failing to act on the basis of the prescription monitoring data provided by the program's central database tracking system.</w:t>
      </w:r>
    </w:p>
    <w:p w14:paraId="423ED4BA" w14:textId="0680DA73" w:rsidR="00B60F02" w:rsidRPr="000A4662" w:rsidRDefault="00B60F02" w:rsidP="00B60F02">
      <w:pPr>
        <w:pStyle w:val="P06-00"/>
        <w:rPr>
          <w:rFonts w:ascii="Courier New" w:hAnsi="Courier New" w:cs="Courier New"/>
        </w:rPr>
      </w:pPr>
      <w:r w:rsidRPr="000A4662">
        <w:rPr>
          <w:rFonts w:ascii="Courier New" w:hAnsi="Courier New" w:cs="Courier New"/>
        </w:rPr>
        <w:t>M.  Notwithstanding any provision of this section to the contrary, medical practitioners or dispensers and their delegates are not in violation of this section during any time period in which the controlled substances prescription monitoring program's central database tracking system is suspended or is not operational or available in a timely manner.  If the program's central database tracking system is not accessible, the medical practitioner or dispenser or the medical practitioner's or dispenser's delegate shall document the date and time the practitioner, dispenser or delegate attempted to use the central database tracking system pursuant to a process established by board rule.</w:t>
      </w:r>
    </w:p>
    <w:p w14:paraId="7F73B8E9" w14:textId="47A4B6C3" w:rsidR="00B60F02" w:rsidRPr="000A4662" w:rsidRDefault="00B60F02" w:rsidP="00B60F02">
      <w:pPr>
        <w:pStyle w:val="P06-00"/>
        <w:keepNext/>
        <w:keepLines/>
        <w:rPr>
          <w:rFonts w:ascii="Courier New" w:hAnsi="Courier New" w:cs="Courier New"/>
        </w:rPr>
      </w:pPr>
      <w:r w:rsidRPr="000A4662">
        <w:rPr>
          <w:rFonts w:ascii="Courier New" w:hAnsi="Courier New" w:cs="Courier New"/>
        </w:rPr>
        <w:t>N.  The board shall conduct an annual voluntary survey of program users to assess user satisfaction with the program's central database tracking system.  The survey may be conducted electronically.  On or before December 1 of each year, the board shall provide a report of the survey results to the president of the senate, the speaker of the house of representatives and the governor and shall provide a copy of this report to the secretary of state.</w:t>
      </w:r>
    </w:p>
    <w:p w14:paraId="1589BE94" w14:textId="5B034972" w:rsidR="00B60F02" w:rsidRPr="000A4662" w:rsidRDefault="00B60F02" w:rsidP="00B60F02">
      <w:pPr>
        <w:pStyle w:val="P06-00"/>
        <w:rPr>
          <w:rFonts w:ascii="Courier New" w:hAnsi="Courier New" w:cs="Courier New"/>
        </w:rPr>
      </w:pPr>
      <w:r w:rsidRPr="000A4662">
        <w:rPr>
          <w:rFonts w:ascii="Courier New" w:hAnsi="Courier New" w:cs="Courier New"/>
        </w:rPr>
        <w:t xml:space="preserve">O.  This section does not prohibit a medical practitioner regulatory board or the Arizona state board of pharmacy from obtaining and using information from the program's central database tracking system. </w:t>
      </w:r>
    </w:p>
    <w:p w14:paraId="6060F806" w14:textId="404E4EC2" w:rsidR="00B60F02" w:rsidRPr="000A4662" w:rsidRDefault="00B60F02" w:rsidP="00B60F02">
      <w:pPr>
        <w:pStyle w:val="P06-00"/>
        <w:keepNext/>
        <w:keepLines/>
        <w:rPr>
          <w:rFonts w:ascii="Courier New" w:hAnsi="Courier New" w:cs="Courier New"/>
        </w:rPr>
      </w:pPr>
      <w:r w:rsidRPr="000A4662">
        <w:rPr>
          <w:rFonts w:ascii="Courier New" w:hAnsi="Courier New" w:cs="Courier New"/>
        </w:rPr>
        <w:t>P.  For the purposes of this section:</w:t>
      </w:r>
    </w:p>
    <w:p w14:paraId="0317EA3B" w14:textId="77777777" w:rsidR="00B60F02" w:rsidRPr="000A4662" w:rsidRDefault="00B60F02" w:rsidP="00B60F02">
      <w:pPr>
        <w:pStyle w:val="P06-00"/>
        <w:keepNext/>
        <w:keepLines/>
        <w:rPr>
          <w:rFonts w:ascii="Courier New" w:hAnsi="Courier New" w:cs="Courier New"/>
        </w:rPr>
      </w:pPr>
      <w:r w:rsidRPr="000A4662">
        <w:rPr>
          <w:rFonts w:ascii="Courier New" w:hAnsi="Courier New" w:cs="Courier New"/>
        </w:rPr>
        <w:t>1.  "Administration" has the same meaning prescribed in section 36</w:t>
      </w:r>
      <w:r w:rsidRPr="000A4662">
        <w:rPr>
          <w:rFonts w:ascii="Courier New" w:hAnsi="Courier New" w:cs="Courier New"/>
        </w:rPr>
        <w:noBreakHyphen/>
        <w:t>2901.</w:t>
      </w:r>
    </w:p>
    <w:p w14:paraId="47818A10" w14:textId="77777777" w:rsidR="00B60F02" w:rsidRPr="000A4662" w:rsidRDefault="00B60F02" w:rsidP="00B60F02">
      <w:pPr>
        <w:pStyle w:val="P06-00"/>
        <w:rPr>
          <w:rFonts w:ascii="Courier New" w:hAnsi="Courier New" w:cs="Courier New"/>
        </w:rPr>
      </w:pPr>
      <w:r w:rsidRPr="000A4662">
        <w:rPr>
          <w:rFonts w:ascii="Courier New" w:hAnsi="Courier New" w:cs="Courier New"/>
        </w:rPr>
        <w:t>2.  "Contractor" has the same meaning prescribed in section 36</w:t>
      </w:r>
      <w:r w:rsidRPr="000A4662">
        <w:rPr>
          <w:rFonts w:ascii="Courier New" w:hAnsi="Courier New" w:cs="Courier New"/>
        </w:rPr>
        <w:noBreakHyphen/>
        <w:t>2901.</w:t>
      </w:r>
    </w:p>
    <w:p w14:paraId="4F9A5D3C" w14:textId="77777777" w:rsidR="00B60F02" w:rsidRPr="000A4662" w:rsidRDefault="00B60F02" w:rsidP="00B60F02">
      <w:pPr>
        <w:pStyle w:val="P06-00"/>
        <w:rPr>
          <w:rFonts w:ascii="Courier New" w:hAnsi="Courier New" w:cs="Courier New"/>
        </w:rPr>
      </w:pPr>
      <w:r w:rsidRPr="000A4662">
        <w:rPr>
          <w:rFonts w:ascii="Courier New" w:hAnsi="Courier New" w:cs="Courier New"/>
        </w:rPr>
        <w:t>3.  "Dispenser" means a pharmacist who is licensed pursuant to title 32, chapter 18.</w:t>
      </w:r>
    </w:p>
    <w:p w14:paraId="6FF793F8" w14:textId="77777777" w:rsidR="00B60F02" w:rsidRPr="000A4662" w:rsidRDefault="00B60F02" w:rsidP="00B60F02">
      <w:pPr>
        <w:pStyle w:val="P06-00"/>
        <w:rPr>
          <w:rFonts w:ascii="Courier New" w:hAnsi="Courier New" w:cs="Courier New"/>
        </w:rPr>
      </w:pPr>
      <w:r w:rsidRPr="000A4662">
        <w:rPr>
          <w:rFonts w:ascii="Courier New" w:hAnsi="Courier New" w:cs="Courier New"/>
        </w:rPr>
        <w:t>4.  "Emergency department" means the unit within a hospital that is designed to provide emergency services.</w:t>
      </w:r>
    </w:p>
    <w:p w14:paraId="4CFB1C68" w14:textId="27CBEE93" w:rsidR="00F540AD" w:rsidRPr="000A4662" w:rsidRDefault="00B60F02" w:rsidP="00B60F02">
      <w:pPr>
        <w:pStyle w:val="P06-00"/>
        <w:rPr>
          <w:rFonts w:ascii="Courier New" w:hAnsi="Courier New" w:cs="Courier New"/>
        </w:rPr>
      </w:pPr>
      <w:r w:rsidRPr="000A4662">
        <w:rPr>
          <w:rFonts w:ascii="Courier New" w:hAnsi="Courier New" w:cs="Courier New"/>
        </w:rPr>
        <w:t>5.  "Health care insurer" has the same meaning prescribed in section 20</w:t>
      </w:r>
      <w:r w:rsidRPr="000A4662">
        <w:rPr>
          <w:rFonts w:ascii="Courier New" w:hAnsi="Courier New" w:cs="Courier New"/>
        </w:rPr>
        <w:noBreakHyphen/>
        <w:t xml:space="preserve">3151. </w:t>
      </w:r>
      <w:r w:rsidRPr="000A4662">
        <w:rPr>
          <w:rFonts w:ascii="Courier New" w:hAnsi="Courier New" w:cs="Courier New"/>
        </w:rPr>
        <w:fldChar w:fldCharType="begin"/>
      </w:r>
      <w:r w:rsidRPr="000A4662">
        <w:rPr>
          <w:rFonts w:ascii="Courier New" w:hAnsi="Courier New" w:cs="Courier New"/>
        </w:rPr>
        <w:instrText xml:space="preserve"> COMMENTS END_STATUTE \* MERGEFORMAT </w:instrText>
      </w:r>
      <w:r w:rsidRPr="000A4662">
        <w:rPr>
          <w:rFonts w:ascii="Courier New" w:hAnsi="Courier New" w:cs="Courier New"/>
        </w:rPr>
        <w:fldChar w:fldCharType="separate"/>
      </w:r>
      <w:r w:rsidRPr="000A4662">
        <w:rPr>
          <w:rFonts w:ascii="Courier New" w:hAnsi="Courier New" w:cs="Courier New"/>
          <w:vanish/>
        </w:rPr>
        <w:t>END_STATUTE</w:t>
      </w:r>
      <w:r w:rsidRPr="000A4662">
        <w:rPr>
          <w:rFonts w:ascii="Courier New" w:hAnsi="Courier New" w:cs="Courier New"/>
        </w:rPr>
        <w:fldChar w:fldCharType="end"/>
      </w:r>
      <w:bookmarkEnd w:id="0"/>
    </w:p>
    <w:sectPr w:rsidR="00F540AD" w:rsidRPr="000A4662" w:rsidSect="00B60F0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ED4A" w14:textId="77777777" w:rsidR="00B60F02" w:rsidRDefault="00B60F02">
      <w:r>
        <w:separator/>
      </w:r>
    </w:p>
  </w:endnote>
  <w:endnote w:type="continuationSeparator" w:id="0">
    <w:p w14:paraId="095A4F41" w14:textId="77777777" w:rsidR="00B60F02" w:rsidRDefault="00B6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A80A" w14:textId="77777777" w:rsidR="00B60F02" w:rsidRDefault="00B60F02">
      <w:r>
        <w:separator/>
      </w:r>
    </w:p>
  </w:footnote>
  <w:footnote w:type="continuationSeparator" w:id="0">
    <w:p w14:paraId="17762C61" w14:textId="77777777" w:rsidR="00B60F02" w:rsidRDefault="00B6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51104669">
    <w:abstractNumId w:val="8"/>
  </w:num>
  <w:num w:numId="2" w16cid:durableId="316306695">
    <w:abstractNumId w:val="8"/>
  </w:num>
  <w:num w:numId="3" w16cid:durableId="1506240521">
    <w:abstractNumId w:val="7"/>
  </w:num>
  <w:num w:numId="4" w16cid:durableId="2083945475">
    <w:abstractNumId w:val="7"/>
  </w:num>
  <w:num w:numId="5" w16cid:durableId="1074469481">
    <w:abstractNumId w:val="10"/>
  </w:num>
  <w:num w:numId="6" w16cid:durableId="1052002711">
    <w:abstractNumId w:val="11"/>
  </w:num>
  <w:num w:numId="7" w16cid:durableId="1980498983">
    <w:abstractNumId w:val="12"/>
  </w:num>
  <w:num w:numId="8" w16cid:durableId="514349974">
    <w:abstractNumId w:val="9"/>
  </w:num>
  <w:num w:numId="9" w16cid:durableId="2117553699">
    <w:abstractNumId w:val="6"/>
  </w:num>
  <w:num w:numId="10" w16cid:durableId="235865803">
    <w:abstractNumId w:val="5"/>
  </w:num>
  <w:num w:numId="11" w16cid:durableId="1665939203">
    <w:abstractNumId w:val="4"/>
  </w:num>
  <w:num w:numId="12" w16cid:durableId="1379739612">
    <w:abstractNumId w:val="3"/>
  </w:num>
  <w:num w:numId="13" w16cid:durableId="15158863">
    <w:abstractNumId w:val="2"/>
  </w:num>
  <w:num w:numId="14" w16cid:durableId="896476363">
    <w:abstractNumId w:val="1"/>
  </w:num>
  <w:num w:numId="15" w16cid:durableId="75019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02"/>
    <w:rsid w:val="00010503"/>
    <w:rsid w:val="00033AE7"/>
    <w:rsid w:val="000A4662"/>
    <w:rsid w:val="00667E70"/>
    <w:rsid w:val="008012DF"/>
    <w:rsid w:val="00B60F0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3716"/>
  <w15:chartTrackingRefBased/>
  <w15:docId w15:val="{71146564-92DA-4830-BC86-92B14E56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60F02"/>
    <w:rPr>
      <w:rFonts w:ascii="Letter Gothic-Drafting" w:hAnsi="Letter Gothic-Drafting"/>
      <w:b/>
      <w:snapToGrid w:val="0"/>
    </w:rPr>
  </w:style>
  <w:style w:type="character" w:customStyle="1" w:styleId="SEC06-18Char">
    <w:name w:val="SEC 06-18 Char"/>
    <w:link w:val="SEC06-18"/>
    <w:rsid w:val="00B60F0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1385</Words>
  <Characters>7691</Characters>
  <Application>Microsoft Office Word</Application>
  <DocSecurity>0</DocSecurity>
  <Lines>150</Lines>
  <Paragraphs>44</Paragraphs>
  <ScaleCrop>false</ScaleCrop>
  <HeadingPairs>
    <vt:vector size="2" baseType="variant">
      <vt:variant>
        <vt:lpstr>Title</vt:lpstr>
      </vt:variant>
      <vt:variant>
        <vt:i4>1</vt:i4>
      </vt:variant>
    </vt:vector>
  </HeadingPairs>
  <TitlesOfParts>
    <vt:vector size="1" baseType="lpstr">
      <vt:lpstr>36-2606; Registration; access; requirements; mandatory use; annual user satisfaction survey; report; definitions_x000d_</vt:lpstr>
    </vt:vector>
  </TitlesOfParts>
  <Company>LCS</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36-2606; Registration; access; requirements; mandatory use; annual user satisfaction survey; report; definitions</dc:title>
  <dc:subject>Registration; access; requirements; mandatory use; annual user satisfaction survey; report; definitions</dc:subject>
  <dc:creator>Arizona Legislative Council</dc:creator>
  <cp:keywords/>
  <dc:description>0078.docx - 552R - 2022</dc:description>
  <cp:lastModifiedBy>dbupdate</cp:lastModifiedBy>
  <cp:revision>2</cp:revision>
  <cp:lastPrinted>2022-08-25T17:03:00Z</cp:lastPrinted>
  <dcterms:created xsi:type="dcterms:W3CDTF">2025-09-21T01:53:00Z</dcterms:created>
  <dcterms:modified xsi:type="dcterms:W3CDTF">2025-09-21T01:53:00Z</dcterms:modified>
</cp:coreProperties>
</file>