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C7125" w14:textId="77777777" w:rsidR="00346581" w:rsidRPr="005A64D1" w:rsidRDefault="0049259D">
      <w:pPr>
        <w:pStyle w:val="SEC06-18"/>
        <w:rPr>
          <w:rFonts w:ascii="Courier New" w:hAnsi="Courier New"/>
        </w:rPr>
      </w:pPr>
      <w:r w:rsidRPr="005A64D1">
        <w:rPr>
          <w:rFonts w:ascii="Courier New" w:hAnsi="Courier New"/>
          <w:vanish/>
        </w:rPr>
        <w:fldChar w:fldCharType="begin"/>
      </w:r>
      <w:r w:rsidRPr="005A64D1">
        <w:rPr>
          <w:rFonts w:ascii="Courier New" w:hAnsi="Courier New"/>
          <w:vanish/>
        </w:rPr>
        <w:instrText xml:space="preserve"> COMMENTS START_STATUTE \* MERGEFORMAT </w:instrText>
      </w:r>
      <w:r w:rsidRPr="005A64D1">
        <w:rPr>
          <w:rFonts w:ascii="Courier New" w:hAnsi="Courier New"/>
          <w:vanish/>
        </w:rPr>
        <w:fldChar w:fldCharType="separate"/>
      </w:r>
      <w:r w:rsidRPr="005A64D1">
        <w:rPr>
          <w:rFonts w:ascii="Courier New" w:hAnsi="Courier New"/>
          <w:vanish/>
        </w:rPr>
        <w:t>START_STATUTE</w:t>
      </w:r>
      <w:r w:rsidRPr="005A64D1">
        <w:rPr>
          <w:rFonts w:ascii="Courier New" w:hAnsi="Courier New"/>
          <w:vanish/>
        </w:rPr>
        <w:fldChar w:fldCharType="end"/>
      </w:r>
      <w:r w:rsidR="00346581" w:rsidRPr="005A64D1">
        <w:rPr>
          <w:rStyle w:val="SNUM"/>
          <w:rFonts w:ascii="Courier New" w:hAnsi="Courier New"/>
        </w:rPr>
        <w:t>36-2218</w:t>
      </w:r>
      <w:r w:rsidR="00346581" w:rsidRPr="005A64D1">
        <w:rPr>
          <w:rFonts w:ascii="Courier New" w:hAnsi="Courier New"/>
        </w:rPr>
        <w:t>.  </w:t>
      </w:r>
      <w:r w:rsidR="00346581" w:rsidRPr="005A64D1">
        <w:rPr>
          <w:rStyle w:val="SECHEAD"/>
          <w:rFonts w:ascii="Courier New" w:hAnsi="Courier New"/>
        </w:rPr>
        <w:t>Emergency medical services operating fund</w:t>
      </w:r>
    </w:p>
    <w:p w14:paraId="4D9D77E6" w14:textId="77777777" w:rsidR="00346581" w:rsidRPr="005A64D1" w:rsidRDefault="00346581">
      <w:pPr>
        <w:pStyle w:val="P06-00"/>
        <w:rPr>
          <w:rFonts w:ascii="Courier New" w:hAnsi="Courier New"/>
          <w:noProof w:val="0"/>
        </w:rPr>
      </w:pPr>
      <w:r w:rsidRPr="005A64D1">
        <w:rPr>
          <w:rFonts w:ascii="Courier New" w:hAnsi="Courier New"/>
          <w:noProof w:val="0"/>
        </w:rPr>
        <w:t>A.   An emergency medical services operating fund is established.  The director shall administer the fund.  The emergency medical services operating fund shall consist of monies collected pursuant to sections 12</w:t>
      </w:r>
      <w:r w:rsidRPr="005A64D1">
        <w:rPr>
          <w:rFonts w:ascii="Courier New" w:hAnsi="Courier New"/>
          <w:noProof w:val="0"/>
        </w:rPr>
        <w:noBreakHyphen/>
        <w:t>116.02 and 36</w:t>
      </w:r>
      <w:r w:rsidRPr="005A64D1">
        <w:rPr>
          <w:rFonts w:ascii="Courier New" w:hAnsi="Courier New"/>
          <w:noProof w:val="0"/>
        </w:rPr>
        <w:noBreakHyphen/>
        <w:t>3251 and distributed pursuant to section 36</w:t>
      </w:r>
      <w:r w:rsidRPr="005A64D1">
        <w:rPr>
          <w:rFonts w:ascii="Courier New" w:hAnsi="Courier New"/>
          <w:noProof w:val="0"/>
        </w:rPr>
        <w:noBreakHyphen/>
        <w:t>2219.01, subsection B, paragraph 2.</w:t>
      </w:r>
    </w:p>
    <w:p w14:paraId="2D0D9C21" w14:textId="77777777" w:rsidR="00346581" w:rsidRPr="005A64D1" w:rsidRDefault="00346581">
      <w:pPr>
        <w:pStyle w:val="P06-00"/>
        <w:rPr>
          <w:rFonts w:ascii="Courier New" w:hAnsi="Courier New"/>
          <w:noProof w:val="0"/>
        </w:rPr>
      </w:pPr>
      <w:r w:rsidRPr="005A64D1">
        <w:rPr>
          <w:rFonts w:ascii="Courier New" w:hAnsi="Courier New"/>
          <w:noProof w:val="0"/>
        </w:rPr>
        <w:t xml:space="preserve">B.  The director of the department of health services with advice from the council shall expend monies in the fund for funding local and state emergency medical services systems.  Monies in the fund are subject to annual legislative appropriation. </w:t>
      </w:r>
      <w:r w:rsidR="0049259D" w:rsidRPr="005A64D1">
        <w:rPr>
          <w:rFonts w:ascii="Courier New" w:hAnsi="Courier New"/>
          <w:vanish/>
        </w:rPr>
        <w:fldChar w:fldCharType="begin"/>
      </w:r>
      <w:r w:rsidR="0049259D" w:rsidRPr="005A64D1">
        <w:rPr>
          <w:rFonts w:ascii="Courier New" w:hAnsi="Courier New"/>
          <w:vanish/>
        </w:rPr>
        <w:instrText xml:space="preserve"> COMMENTS END_STATUTE \* MERGEFORMAT </w:instrText>
      </w:r>
      <w:r w:rsidR="0049259D" w:rsidRPr="005A64D1">
        <w:rPr>
          <w:rFonts w:ascii="Courier New" w:hAnsi="Courier New"/>
          <w:vanish/>
        </w:rPr>
        <w:fldChar w:fldCharType="separate"/>
      </w:r>
      <w:r w:rsidR="0049259D" w:rsidRPr="005A64D1">
        <w:rPr>
          <w:rFonts w:ascii="Courier New" w:hAnsi="Courier New"/>
          <w:vanish/>
        </w:rPr>
        <w:t>END_STATUTE</w:t>
      </w:r>
      <w:r w:rsidR="0049259D" w:rsidRPr="005A64D1">
        <w:rPr>
          <w:rFonts w:ascii="Courier New" w:hAnsi="Courier New"/>
          <w:vanish/>
        </w:rPr>
        <w:fldChar w:fldCharType="end"/>
      </w:r>
    </w:p>
    <w:p w14:paraId="7E2B7534" w14:textId="77777777" w:rsidR="00346581" w:rsidRPr="005A64D1" w:rsidRDefault="00346581">
      <w:pPr>
        <w:rPr>
          <w:rFonts w:ascii="Courier New" w:hAnsi="Courier New"/>
          <w:b/>
          <w:sz w:val="20"/>
        </w:rPr>
      </w:pPr>
    </w:p>
    <w:sectPr w:rsidR="00346581" w:rsidRPr="005A64D1">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9D"/>
    <w:rsid w:val="00346581"/>
    <w:rsid w:val="0049259D"/>
    <w:rsid w:val="005A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F8AC3A"/>
  <w15:chartTrackingRefBased/>
  <w15:docId w15:val="{D93503F6-2EC9-4F90-80FA-3626A82C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aps w:val="0"/>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611</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36-2218</vt:lpstr>
    </vt:vector>
  </TitlesOfParts>
  <Company>LCS</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36-2218; Emergency medical services operating fund</dc:title>
  <dc:subject>Emergency medical services operating fund</dc:subject>
  <dc:creator>Arizona Legislative Council</dc:creator>
  <cp:keywords/>
  <dc:description>36-2218</dc:description>
  <cp:lastModifiedBy>dbupdate</cp:lastModifiedBy>
  <cp:revision>2</cp:revision>
  <dcterms:created xsi:type="dcterms:W3CDTF">2025-09-21T01:41:00Z</dcterms:created>
  <dcterms:modified xsi:type="dcterms:W3CDTF">2025-09-21T01:41:00Z</dcterms:modified>
</cp:coreProperties>
</file>