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CCA3" w14:textId="77777777" w:rsidR="00DD4570" w:rsidRPr="007A21D6" w:rsidRDefault="00DD4570" w:rsidP="00DD4570">
      <w:pPr>
        <w:pStyle w:val="SEC06-17"/>
        <w:rPr>
          <w:rFonts w:ascii="Courier New" w:hAnsi="Courier New"/>
        </w:rPr>
      </w:pPr>
      <w:r w:rsidRPr="007A21D6">
        <w:rPr>
          <w:rFonts w:ascii="Courier New" w:hAnsi="Courier New"/>
          <w:vanish/>
        </w:rPr>
        <w:fldChar w:fldCharType="begin"/>
      </w:r>
      <w:r w:rsidRPr="007A21D6">
        <w:rPr>
          <w:rFonts w:ascii="Courier New" w:hAnsi="Courier New"/>
          <w:vanish/>
        </w:rPr>
        <w:instrText xml:space="preserve"> COMMENTS START_STATUTE \* MERGEFORMAT </w:instrText>
      </w:r>
      <w:r w:rsidRPr="007A21D6">
        <w:rPr>
          <w:rFonts w:ascii="Courier New" w:hAnsi="Courier New"/>
          <w:vanish/>
        </w:rPr>
        <w:fldChar w:fldCharType="separate"/>
      </w:r>
      <w:proofErr w:type="spellStart"/>
      <w:r w:rsidRPr="007A21D6">
        <w:rPr>
          <w:rFonts w:ascii="Courier New" w:hAnsi="Courier New"/>
          <w:vanish/>
        </w:rPr>
        <w:t>START_STATUTE</w:t>
      </w:r>
      <w:r w:rsidRPr="007A21D6">
        <w:rPr>
          <w:rFonts w:ascii="Courier New" w:hAnsi="Courier New"/>
          <w:vanish/>
        </w:rPr>
        <w:fldChar w:fldCharType="end"/>
      </w:r>
      <w:r w:rsidRPr="007A21D6">
        <w:rPr>
          <w:rStyle w:val="SNUM"/>
          <w:rFonts w:ascii="Courier New" w:hAnsi="Courier New"/>
        </w:rPr>
        <w:t>36</w:t>
      </w:r>
      <w:proofErr w:type="spellEnd"/>
      <w:r w:rsidRPr="007A21D6">
        <w:rPr>
          <w:rStyle w:val="SNUM"/>
          <w:rFonts w:ascii="Courier New" w:hAnsi="Courier New"/>
        </w:rPr>
        <w:t>-894.</w:t>
      </w:r>
      <w:r w:rsidRPr="007A21D6">
        <w:rPr>
          <w:rFonts w:ascii="Courier New" w:hAnsi="Courier New"/>
        </w:rPr>
        <w:t>  </w:t>
      </w:r>
      <w:r w:rsidRPr="007A21D6">
        <w:rPr>
          <w:rStyle w:val="SECHEAD"/>
          <w:rFonts w:ascii="Courier New" w:hAnsi="Courier New"/>
        </w:rPr>
        <w:t>Medical marijuana; child care facilities; prohibition</w:t>
      </w:r>
    </w:p>
    <w:p w14:paraId="26B45C16" w14:textId="77777777" w:rsidR="008B14A8" w:rsidRPr="007A21D6" w:rsidRDefault="008B14A8" w:rsidP="00DD4570">
      <w:pPr>
        <w:pStyle w:val="P06-00"/>
        <w:rPr>
          <w:rFonts w:ascii="Courier New" w:hAnsi="Courier New"/>
        </w:rPr>
      </w:pPr>
    </w:p>
    <w:p w14:paraId="703D8DC8" w14:textId="77777777" w:rsidR="008B14A8" w:rsidRPr="007A21D6" w:rsidRDefault="008B14A8" w:rsidP="00DD4570">
      <w:pPr>
        <w:pStyle w:val="P06-00"/>
        <w:rPr>
          <w:rFonts w:ascii="Courier New" w:hAnsi="Courier New"/>
        </w:rPr>
      </w:pPr>
      <w:r w:rsidRPr="007A21D6">
        <w:rPr>
          <w:rFonts w:ascii="Courier New" w:hAnsi="Courier New"/>
        </w:rPr>
        <w:t xml:space="preserve">(Added with a 1998 Prop. 105 clause pursuant to </w:t>
      </w:r>
      <w:proofErr w:type="spellStart"/>
      <w:r w:rsidRPr="007A21D6">
        <w:rPr>
          <w:rFonts w:ascii="Courier New" w:hAnsi="Courier New"/>
        </w:rPr>
        <w:t>L12</w:t>
      </w:r>
      <w:proofErr w:type="spellEnd"/>
      <w:r w:rsidRPr="007A21D6">
        <w:rPr>
          <w:rFonts w:ascii="Courier New" w:hAnsi="Courier New"/>
        </w:rPr>
        <w:t>, Ch. 159)</w:t>
      </w:r>
    </w:p>
    <w:p w14:paraId="0475310A" w14:textId="77777777" w:rsidR="008B14A8" w:rsidRPr="007A21D6" w:rsidRDefault="008B14A8" w:rsidP="00DD4570">
      <w:pPr>
        <w:pStyle w:val="P06-00"/>
        <w:rPr>
          <w:rFonts w:ascii="Courier New" w:hAnsi="Courier New"/>
        </w:rPr>
      </w:pPr>
    </w:p>
    <w:p w14:paraId="1EE6F805" w14:textId="77777777" w:rsidR="00DD4570" w:rsidRPr="007A21D6" w:rsidRDefault="00DD4570" w:rsidP="00DD4570">
      <w:pPr>
        <w:pStyle w:val="P06-00"/>
        <w:rPr>
          <w:rFonts w:ascii="Courier New" w:hAnsi="Courier New"/>
        </w:rPr>
      </w:pPr>
      <w:r w:rsidRPr="007A21D6">
        <w:rPr>
          <w:rFonts w:ascii="Courier New" w:hAnsi="Courier New"/>
        </w:rPr>
        <w:t>A person, including a cardholder as defined in section 36</w:t>
      </w:r>
      <w:r w:rsidRPr="007A21D6">
        <w:rPr>
          <w:rFonts w:ascii="Courier New" w:hAnsi="Courier New"/>
        </w:rPr>
        <w:noBreakHyphen/>
        <w:t xml:space="preserve">2801, may not lawfully possess or use marijuana in any child care facility in this state. </w:t>
      </w:r>
      <w:r w:rsidRPr="007A21D6">
        <w:rPr>
          <w:rFonts w:ascii="Courier New" w:hAnsi="Courier New"/>
          <w:vanish/>
        </w:rPr>
        <w:fldChar w:fldCharType="begin"/>
      </w:r>
      <w:r w:rsidRPr="007A21D6">
        <w:rPr>
          <w:rFonts w:ascii="Courier New" w:hAnsi="Courier New"/>
          <w:vanish/>
        </w:rPr>
        <w:instrText xml:space="preserve"> COMMENTS END_STATUTE \* MERGEFORMAT </w:instrText>
      </w:r>
      <w:r w:rsidRPr="007A21D6">
        <w:rPr>
          <w:rFonts w:ascii="Courier New" w:hAnsi="Courier New"/>
          <w:vanish/>
        </w:rPr>
        <w:fldChar w:fldCharType="separate"/>
      </w:r>
      <w:proofErr w:type="spellStart"/>
      <w:r w:rsidRPr="007A21D6">
        <w:rPr>
          <w:rFonts w:ascii="Courier New" w:hAnsi="Courier New"/>
          <w:vanish/>
        </w:rPr>
        <w:t>END_STATUTE</w:t>
      </w:r>
      <w:proofErr w:type="spellEnd"/>
      <w:r w:rsidRPr="007A21D6">
        <w:rPr>
          <w:rFonts w:ascii="Courier New" w:hAnsi="Courier New"/>
          <w:vanish/>
        </w:rPr>
        <w:fldChar w:fldCharType="end"/>
      </w:r>
      <w:bookmarkStart w:id="0" w:name="Add_Section"/>
      <w:bookmarkEnd w:id="0"/>
    </w:p>
    <w:p w14:paraId="1DC591D0" w14:textId="77777777" w:rsidR="00DD4570" w:rsidRPr="007A21D6" w:rsidRDefault="00DD4570" w:rsidP="00DD4570">
      <w:pPr>
        <w:rPr>
          <w:rFonts w:ascii="Courier New" w:hAnsi="Courier New"/>
        </w:rPr>
      </w:pPr>
    </w:p>
    <w:sectPr w:rsidR="00DD4570" w:rsidRPr="007A21D6" w:rsidSect="00DD4570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9A2B" w14:textId="77777777" w:rsidR="004E59A9" w:rsidRDefault="004E59A9">
      <w:r>
        <w:separator/>
      </w:r>
    </w:p>
  </w:endnote>
  <w:endnote w:type="continuationSeparator" w:id="0">
    <w:p w14:paraId="6F40D412" w14:textId="77777777" w:rsidR="004E59A9" w:rsidRDefault="004E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A2AB" w14:textId="77777777" w:rsidR="004E59A9" w:rsidRDefault="004E59A9">
      <w:r>
        <w:separator/>
      </w:r>
    </w:p>
  </w:footnote>
  <w:footnote w:type="continuationSeparator" w:id="0">
    <w:p w14:paraId="319BCDB5" w14:textId="77777777" w:rsidR="004E59A9" w:rsidRDefault="004E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7077100">
    <w:abstractNumId w:val="1"/>
  </w:num>
  <w:num w:numId="2" w16cid:durableId="87578898">
    <w:abstractNumId w:val="1"/>
  </w:num>
  <w:num w:numId="3" w16cid:durableId="1032072257">
    <w:abstractNumId w:val="0"/>
  </w:num>
  <w:num w:numId="4" w16cid:durableId="198419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70"/>
    <w:rsid w:val="004E59A9"/>
    <w:rsid w:val="007A21D6"/>
    <w:rsid w:val="008B14A8"/>
    <w:rsid w:val="00BF394B"/>
    <w:rsid w:val="00DD4570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724F9C"/>
  <w15:chartTrackingRefBased/>
  <w15:docId w15:val="{CE533197-0650-4FD9-9FDC-F1F15336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61</Words>
  <Characters>322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36-894; Medical marijuana; child care facilities; prohibition</dc:title>
  <dc:subject>Medical marijuana; child care facilities; prohibition</dc:subject>
  <dc:creator>Arizona Legislative Council</dc:creator>
  <cp:keywords/>
  <dc:description>0159.doc - 502R - 2012</dc:description>
  <cp:lastModifiedBy>dbupdate</cp:lastModifiedBy>
  <cp:revision>2</cp:revision>
  <cp:lastPrinted>1601-01-01T00:00:00Z</cp:lastPrinted>
  <dcterms:created xsi:type="dcterms:W3CDTF">2025-09-21T01:06:00Z</dcterms:created>
  <dcterms:modified xsi:type="dcterms:W3CDTF">2025-09-21T01:06:00Z</dcterms:modified>
</cp:coreProperties>
</file>