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180C" w14:textId="77777777" w:rsidR="00C4223E" w:rsidRPr="003009F6" w:rsidRDefault="002047F8">
      <w:pPr>
        <w:pStyle w:val="SEC06-20"/>
        <w:rPr>
          <w:rFonts w:ascii="Courier New" w:hAnsi="Courier New"/>
          <w:noProof w:val="0"/>
        </w:rPr>
      </w:pPr>
      <w:r w:rsidRPr="003009F6">
        <w:rPr>
          <w:rFonts w:ascii="Courier New" w:hAnsi="Courier New"/>
          <w:vanish/>
        </w:rPr>
        <w:fldChar w:fldCharType="begin"/>
      </w:r>
      <w:r w:rsidRPr="003009F6">
        <w:rPr>
          <w:rFonts w:ascii="Courier New" w:hAnsi="Courier New"/>
          <w:vanish/>
        </w:rPr>
        <w:instrText xml:space="preserve"> COMMENTS START_STATUTE \* MERGEFORMAT </w:instrText>
      </w:r>
      <w:r w:rsidRPr="003009F6">
        <w:rPr>
          <w:rFonts w:ascii="Courier New" w:hAnsi="Courier New"/>
          <w:vanish/>
        </w:rPr>
        <w:fldChar w:fldCharType="separate"/>
      </w:r>
      <w:r w:rsidRPr="003009F6">
        <w:rPr>
          <w:rFonts w:ascii="Courier New" w:hAnsi="Courier New"/>
          <w:vanish/>
        </w:rPr>
        <w:t>START_STATUTE</w:t>
      </w:r>
      <w:r w:rsidRPr="003009F6">
        <w:rPr>
          <w:rFonts w:ascii="Courier New" w:hAnsi="Courier New"/>
          <w:vanish/>
        </w:rPr>
        <w:fldChar w:fldCharType="end"/>
      </w:r>
      <w:r w:rsidR="00C4223E" w:rsidRPr="003009F6">
        <w:rPr>
          <w:rStyle w:val="SNUM"/>
          <w:rFonts w:ascii="Courier New" w:hAnsi="Courier New"/>
          <w:noProof w:val="0"/>
        </w:rPr>
        <w:t>36-883.04</w:t>
      </w:r>
      <w:r w:rsidR="00C4223E" w:rsidRPr="003009F6">
        <w:rPr>
          <w:rFonts w:ascii="Courier New" w:hAnsi="Courier New"/>
          <w:noProof w:val="0"/>
        </w:rPr>
        <w:t>.  </w:t>
      </w:r>
      <w:r w:rsidR="00C4223E" w:rsidRPr="003009F6">
        <w:rPr>
          <w:rStyle w:val="SECHEAD"/>
          <w:rFonts w:ascii="Courier New" w:hAnsi="Courier New"/>
          <w:noProof w:val="0"/>
        </w:rPr>
        <w:t>Standards of care; rules; enforcement</w:t>
      </w:r>
    </w:p>
    <w:p w14:paraId="42E2325E" w14:textId="77777777" w:rsidR="00C4223E" w:rsidRPr="003009F6" w:rsidRDefault="00C4223E">
      <w:pPr>
        <w:pStyle w:val="P06-00"/>
        <w:rPr>
          <w:rFonts w:ascii="Courier New" w:hAnsi="Courier New"/>
          <w:noProof w:val="0"/>
        </w:rPr>
      </w:pPr>
      <w:r w:rsidRPr="003009F6">
        <w:rPr>
          <w:rFonts w:ascii="Courier New" w:hAnsi="Courier New"/>
          <w:noProof w:val="0"/>
        </w:rPr>
        <w:t>The director shall prescribe reasonable rules and standards regarding the health, safety and well</w:t>
      </w:r>
      <w:r w:rsidRPr="003009F6">
        <w:rPr>
          <w:rFonts w:ascii="Courier New" w:hAnsi="Courier New"/>
          <w:noProof w:val="0"/>
        </w:rPr>
        <w:noBreakHyphen/>
        <w:t>being of children cared for in any public school child care program.  These rules shall be comparable to the rules and standards prescribed pursuant to section 36</w:t>
      </w:r>
      <w:r w:rsidRPr="003009F6">
        <w:rPr>
          <w:rFonts w:ascii="Courier New" w:hAnsi="Courier New"/>
          <w:noProof w:val="0"/>
        </w:rPr>
        <w:noBreakHyphen/>
        <w:t>883.  The director shall also prescribe rules regarding the enforcement of the standards of care including penalties for noncompliance with these standards.  These enforcement and penalty provisions shall be comparable to those existing for private child care facilities.</w:t>
      </w:r>
      <w:r w:rsidR="00D94543" w:rsidRPr="003009F6">
        <w:rPr>
          <w:rFonts w:ascii="Courier New" w:hAnsi="Courier New"/>
          <w:vanish/>
        </w:rPr>
        <w:t xml:space="preserve"> </w:t>
      </w:r>
      <w:r w:rsidR="00D94543" w:rsidRPr="003009F6">
        <w:rPr>
          <w:rFonts w:ascii="Courier New" w:hAnsi="Courier New"/>
          <w:vanish/>
        </w:rPr>
        <w:fldChar w:fldCharType="begin"/>
      </w:r>
      <w:r w:rsidR="00D94543" w:rsidRPr="003009F6">
        <w:rPr>
          <w:rFonts w:ascii="Courier New" w:hAnsi="Courier New"/>
          <w:vanish/>
        </w:rPr>
        <w:instrText xml:space="preserve"> COMMENTS END_STATUTE \* MERGEFORMAT </w:instrText>
      </w:r>
      <w:r w:rsidR="00D94543" w:rsidRPr="003009F6">
        <w:rPr>
          <w:rFonts w:ascii="Courier New" w:hAnsi="Courier New"/>
          <w:vanish/>
        </w:rPr>
        <w:fldChar w:fldCharType="separate"/>
      </w:r>
      <w:r w:rsidR="00D94543" w:rsidRPr="003009F6">
        <w:rPr>
          <w:rFonts w:ascii="Courier New" w:hAnsi="Courier New"/>
          <w:vanish/>
        </w:rPr>
        <w:t>END_STATUTE</w:t>
      </w:r>
      <w:r w:rsidR="00D94543" w:rsidRPr="003009F6">
        <w:rPr>
          <w:rFonts w:ascii="Courier New" w:hAnsi="Courier New"/>
          <w:vanish/>
        </w:rPr>
        <w:fldChar w:fldCharType="end"/>
      </w:r>
    </w:p>
    <w:sectPr w:rsidR="00C4223E" w:rsidRPr="003009F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BA1B" w14:textId="77777777" w:rsidR="00C4223E" w:rsidRDefault="00C4223E">
      <w:r>
        <w:separator/>
      </w:r>
    </w:p>
  </w:endnote>
  <w:endnote w:type="continuationSeparator" w:id="0">
    <w:p w14:paraId="4BCE505B" w14:textId="77777777" w:rsidR="00C4223E" w:rsidRDefault="00C4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A455" w14:textId="77777777" w:rsidR="00C4223E" w:rsidRDefault="00C4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CAEC" w14:textId="77777777" w:rsidR="00C4223E" w:rsidRDefault="00C4223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468D" w14:textId="77777777" w:rsidR="00C4223E" w:rsidRDefault="00C4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07DA" w14:textId="77777777" w:rsidR="00C4223E" w:rsidRDefault="00C4223E">
      <w:r>
        <w:separator/>
      </w:r>
    </w:p>
  </w:footnote>
  <w:footnote w:type="continuationSeparator" w:id="0">
    <w:p w14:paraId="7CD6A3F9" w14:textId="77777777" w:rsidR="00C4223E" w:rsidRDefault="00C4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E812" w14:textId="77777777" w:rsidR="00C4223E" w:rsidRDefault="00C4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C7A1" w14:textId="77777777" w:rsidR="00C4223E" w:rsidRDefault="00C4223E">
    <w:pPr>
      <w:pStyle w:val="Header"/>
    </w:pPr>
  </w:p>
  <w:p w14:paraId="07E25E82" w14:textId="77777777" w:rsidR="00C4223E" w:rsidRDefault="00C4223E">
    <w:pPr>
      <w:pStyle w:val="Header"/>
    </w:pPr>
  </w:p>
  <w:p w14:paraId="12504DBD" w14:textId="77777777" w:rsidR="00C4223E" w:rsidRDefault="00C4223E">
    <w:pPr>
      <w:pStyle w:val="Header"/>
    </w:pPr>
  </w:p>
  <w:p w14:paraId="2DC2FB17" w14:textId="77777777" w:rsidR="00C4223E" w:rsidRDefault="00C4223E">
    <w:pPr>
      <w:pStyle w:val="Header"/>
    </w:pPr>
  </w:p>
  <w:p w14:paraId="2C277A5F" w14:textId="77777777" w:rsidR="00C4223E" w:rsidRDefault="00C42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B7B4" w14:textId="77777777" w:rsidR="00C4223E" w:rsidRDefault="00C42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F8"/>
    <w:rsid w:val="002047F8"/>
    <w:rsid w:val="003009F6"/>
    <w:rsid w:val="00C4223E"/>
    <w:rsid w:val="00D9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59FB98"/>
  <w15:chartTrackingRefBased/>
  <w15:docId w15:val="{BC8C11BF-C51A-451F-8AED-32EDC72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pPr>
      <w:jc w:val="left"/>
    </w:pPr>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98</Words>
  <Characters>592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36-883</vt:lpstr>
    </vt:vector>
  </TitlesOfParts>
  <Company>LCS</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36-883.04; Standards of care; rules; enforcement</dc:title>
  <dc:subject>Standards of care; rules; enforcement</dc:subject>
  <dc:creator>Arizona Legislative Council</dc:creator>
  <cp:keywords/>
  <dc:description>36_x001e_883.04</dc:description>
  <cp:lastModifiedBy>dbupdate</cp:lastModifiedBy>
  <cp:revision>2</cp:revision>
  <cp:lastPrinted>1999-03-22T18:35:00Z</cp:lastPrinted>
  <dcterms:created xsi:type="dcterms:W3CDTF">2025-09-21T01:05:00Z</dcterms:created>
  <dcterms:modified xsi:type="dcterms:W3CDTF">2025-09-21T01:05:00Z</dcterms:modified>
</cp:coreProperties>
</file>