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CB87" w14:textId="77777777" w:rsidR="00704D83" w:rsidRPr="00644417" w:rsidRDefault="007B1251">
      <w:pPr>
        <w:pStyle w:val="SEC06-17"/>
        <w:rPr>
          <w:rFonts w:ascii="Courier New" w:hAnsi="Courier New"/>
          <w:noProof w:val="0"/>
        </w:rPr>
      </w:pPr>
      <w:r w:rsidRPr="00644417">
        <w:rPr>
          <w:rFonts w:ascii="Courier New" w:hAnsi="Courier New"/>
          <w:vanish/>
        </w:rPr>
        <w:fldChar w:fldCharType="begin"/>
      </w:r>
      <w:r w:rsidRPr="00644417">
        <w:rPr>
          <w:rFonts w:ascii="Courier New" w:hAnsi="Courier New"/>
          <w:vanish/>
        </w:rPr>
        <w:instrText xml:space="preserve"> COMMENTS START_STATUTE \* MERGEFORMAT </w:instrText>
      </w:r>
      <w:r w:rsidRPr="00644417">
        <w:rPr>
          <w:rFonts w:ascii="Courier New" w:hAnsi="Courier New"/>
          <w:vanish/>
        </w:rPr>
        <w:fldChar w:fldCharType="separate"/>
      </w:r>
      <w:r w:rsidRPr="00644417">
        <w:rPr>
          <w:rFonts w:ascii="Courier New" w:hAnsi="Courier New"/>
          <w:vanish/>
        </w:rPr>
        <w:t>START_STATUTE</w:t>
      </w:r>
      <w:r w:rsidRPr="00644417">
        <w:rPr>
          <w:rFonts w:ascii="Courier New" w:hAnsi="Courier New"/>
          <w:vanish/>
        </w:rPr>
        <w:fldChar w:fldCharType="end"/>
      </w:r>
      <w:r w:rsidR="00704D83" w:rsidRPr="00644417">
        <w:rPr>
          <w:rStyle w:val="SNUM"/>
          <w:rFonts w:ascii="Courier New" w:hAnsi="Courier New"/>
          <w:noProof w:val="0"/>
        </w:rPr>
        <w:t>36-628</w:t>
      </w:r>
      <w:r w:rsidR="00704D83" w:rsidRPr="00644417">
        <w:rPr>
          <w:rFonts w:ascii="Courier New" w:hAnsi="Courier New"/>
          <w:noProof w:val="0"/>
        </w:rPr>
        <w:t>.  </w:t>
      </w:r>
      <w:r w:rsidR="00704D83" w:rsidRPr="00644417">
        <w:rPr>
          <w:rStyle w:val="SECHEAD"/>
          <w:rFonts w:ascii="Courier New" w:hAnsi="Courier New"/>
          <w:noProof w:val="0"/>
        </w:rPr>
        <w:t>Provision for care of persons afflicted with contagious disease; expenses</w:t>
      </w:r>
    </w:p>
    <w:p w14:paraId="7629BF93" w14:textId="77777777" w:rsidR="00704D83" w:rsidRPr="00644417" w:rsidRDefault="00704D83">
      <w:pPr>
        <w:pStyle w:val="P06-00"/>
        <w:rPr>
          <w:rFonts w:ascii="Courier New" w:hAnsi="Courier New"/>
          <w:noProof w:val="0"/>
        </w:rPr>
      </w:pPr>
      <w:r w:rsidRPr="00644417">
        <w:rPr>
          <w:rFonts w:ascii="Courier New" w:hAnsi="Courier New"/>
          <w:noProof w:val="0"/>
        </w:rPr>
        <w:t>A.  Local boards or health departments may employ physicians and other persons and provide such necessaries of life as they deem necessary for care of persons afflicted with contagious or infectious diseases.</w:t>
      </w:r>
    </w:p>
    <w:p w14:paraId="3AA759D2" w14:textId="77777777" w:rsidR="00704D83" w:rsidRPr="00644417" w:rsidRDefault="00704D83">
      <w:pPr>
        <w:pStyle w:val="P06-00"/>
        <w:rPr>
          <w:rFonts w:ascii="Courier New" w:hAnsi="Courier New"/>
          <w:noProof w:val="0"/>
        </w:rPr>
      </w:pPr>
      <w:r w:rsidRPr="00644417">
        <w:rPr>
          <w:rFonts w:ascii="Courier New" w:hAnsi="Courier New"/>
          <w:noProof w:val="0"/>
        </w:rPr>
        <w:t>B.  Expenses incurred in carrying out the provisions of this article shall be audited and allowed by the board incurring them and be a charge against the county or city for which the board or department was acting.</w:t>
      </w:r>
    </w:p>
    <w:p w14:paraId="412DAB06" w14:textId="77777777" w:rsidR="00704D83" w:rsidRPr="00644417" w:rsidRDefault="00704D83">
      <w:pPr>
        <w:pStyle w:val="P06-00"/>
        <w:rPr>
          <w:rFonts w:ascii="Courier New" w:hAnsi="Courier New"/>
          <w:noProof w:val="0"/>
        </w:rPr>
      </w:pPr>
      <w:r w:rsidRPr="00644417">
        <w:rPr>
          <w:rFonts w:ascii="Courier New" w:hAnsi="Courier New"/>
          <w:noProof w:val="0"/>
        </w:rPr>
        <w:t xml:space="preserve">C.  Expenses incurred for the care, medical attendance or support of a sick person shall also be a charge upon such person and upon the person liable for his support if able to pay, and may be collected by the county or city incurring the expense.  If a physician is called by a local board or department to attend a person infected with a contagious or infectious disease, it shall be a city or county charge. </w:t>
      </w:r>
      <w:r w:rsidR="007B1251" w:rsidRPr="00644417">
        <w:rPr>
          <w:rFonts w:ascii="Courier New" w:hAnsi="Courier New"/>
          <w:vanish/>
        </w:rPr>
        <w:fldChar w:fldCharType="begin"/>
      </w:r>
      <w:r w:rsidR="007B1251" w:rsidRPr="00644417">
        <w:rPr>
          <w:rFonts w:ascii="Courier New" w:hAnsi="Courier New"/>
          <w:vanish/>
        </w:rPr>
        <w:instrText xml:space="preserve"> COMMENTS END_STATUTE \* MERGEFORMAT </w:instrText>
      </w:r>
      <w:r w:rsidR="007B1251" w:rsidRPr="00644417">
        <w:rPr>
          <w:rFonts w:ascii="Courier New" w:hAnsi="Courier New"/>
          <w:vanish/>
        </w:rPr>
        <w:fldChar w:fldCharType="separate"/>
      </w:r>
      <w:r w:rsidR="007B1251" w:rsidRPr="00644417">
        <w:rPr>
          <w:rFonts w:ascii="Courier New" w:hAnsi="Courier New"/>
          <w:vanish/>
        </w:rPr>
        <w:t>END_STATUTE</w:t>
      </w:r>
      <w:r w:rsidR="007B1251" w:rsidRPr="00644417">
        <w:rPr>
          <w:rFonts w:ascii="Courier New" w:hAnsi="Courier New"/>
          <w:vanish/>
        </w:rPr>
        <w:fldChar w:fldCharType="end"/>
      </w:r>
    </w:p>
    <w:sectPr w:rsidR="00704D83" w:rsidRPr="0064441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81B0" w14:textId="77777777" w:rsidR="00704D83" w:rsidRDefault="00704D83">
      <w:r>
        <w:separator/>
      </w:r>
    </w:p>
  </w:endnote>
  <w:endnote w:type="continuationSeparator" w:id="0">
    <w:p w14:paraId="61F1321D" w14:textId="77777777" w:rsidR="00704D83" w:rsidRDefault="0070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D459" w14:textId="77777777" w:rsidR="00704D83" w:rsidRDefault="00704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4985" w14:textId="77777777" w:rsidR="00704D83" w:rsidRDefault="00704D8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EEC0" w14:textId="77777777" w:rsidR="00704D83" w:rsidRDefault="0070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E7F0" w14:textId="77777777" w:rsidR="00704D83" w:rsidRDefault="00704D83">
      <w:r>
        <w:separator/>
      </w:r>
    </w:p>
  </w:footnote>
  <w:footnote w:type="continuationSeparator" w:id="0">
    <w:p w14:paraId="3E5691CA" w14:textId="77777777" w:rsidR="00704D83" w:rsidRDefault="0070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1083" w14:textId="77777777" w:rsidR="00704D83" w:rsidRDefault="00704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A25C" w14:textId="77777777" w:rsidR="00704D83" w:rsidRDefault="00704D83">
    <w:pPr>
      <w:pStyle w:val="Header"/>
    </w:pPr>
  </w:p>
  <w:p w14:paraId="7C1B7E9B" w14:textId="77777777" w:rsidR="00704D83" w:rsidRDefault="00704D83">
    <w:pPr>
      <w:pStyle w:val="Header"/>
    </w:pPr>
  </w:p>
  <w:p w14:paraId="45D502AF" w14:textId="77777777" w:rsidR="00704D83" w:rsidRDefault="00704D83">
    <w:pPr>
      <w:pStyle w:val="Header"/>
    </w:pPr>
  </w:p>
  <w:p w14:paraId="17D4CF84" w14:textId="77777777" w:rsidR="00704D83" w:rsidRDefault="00704D83">
    <w:pPr>
      <w:pStyle w:val="Header"/>
    </w:pPr>
  </w:p>
  <w:p w14:paraId="5A29A98F" w14:textId="77777777" w:rsidR="00704D83" w:rsidRDefault="00704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A6F2" w14:textId="77777777" w:rsidR="00704D83" w:rsidRDefault="00704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51"/>
    <w:rsid w:val="00644417"/>
    <w:rsid w:val="00704D83"/>
    <w:rsid w:val="007B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687D60"/>
  <w15:chartTrackingRefBased/>
  <w15:docId w15:val="{DF453686-B510-497E-ABB9-3C38D5E5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176</Words>
  <Characters>849</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36-628</vt:lpstr>
    </vt:vector>
  </TitlesOfParts>
  <Company>LCS</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36-628; Provision for care of persons afflicted with contagious disease; expenses</dc:title>
  <dc:subject>Provision for care of persons afflicted with contagious disease; expenses</dc:subject>
  <dc:creator>Arizona Legislative Council</dc:creator>
  <cp:keywords/>
  <dc:description>36_x001e_628</dc:description>
  <cp:lastModifiedBy>dbupdate</cp:lastModifiedBy>
  <cp:revision>2</cp:revision>
  <cp:lastPrinted>1999-03-22T18:35:00Z</cp:lastPrinted>
  <dcterms:created xsi:type="dcterms:W3CDTF">2025-09-21T00:44:00Z</dcterms:created>
  <dcterms:modified xsi:type="dcterms:W3CDTF">2025-09-21T00:44:00Z</dcterms:modified>
</cp:coreProperties>
</file>