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E91AE" w14:textId="77777777" w:rsidR="00857EB7" w:rsidRPr="007165A1" w:rsidRDefault="00212560">
      <w:pPr>
        <w:pStyle w:val="SEC06-20"/>
        <w:rPr>
          <w:rFonts w:ascii="Courier New" w:hAnsi="Courier New"/>
          <w:noProof w:val="0"/>
        </w:rPr>
      </w:pPr>
      <w:r w:rsidRPr="007165A1">
        <w:rPr>
          <w:rFonts w:ascii="Courier New" w:hAnsi="Courier New"/>
          <w:vanish/>
        </w:rPr>
        <w:fldChar w:fldCharType="begin"/>
      </w:r>
      <w:r w:rsidRPr="007165A1">
        <w:rPr>
          <w:rFonts w:ascii="Courier New" w:hAnsi="Courier New"/>
          <w:vanish/>
        </w:rPr>
        <w:instrText xml:space="preserve"> COMMENTS START_STATUTE \* MERGEFORMAT </w:instrText>
      </w:r>
      <w:r w:rsidRPr="007165A1">
        <w:rPr>
          <w:rFonts w:ascii="Courier New" w:hAnsi="Courier New"/>
          <w:vanish/>
        </w:rPr>
        <w:fldChar w:fldCharType="separate"/>
      </w:r>
      <w:r w:rsidRPr="007165A1">
        <w:rPr>
          <w:rFonts w:ascii="Courier New" w:hAnsi="Courier New"/>
          <w:vanish/>
        </w:rPr>
        <w:t>START_STATUTE</w:t>
      </w:r>
      <w:r w:rsidRPr="007165A1">
        <w:rPr>
          <w:rFonts w:ascii="Courier New" w:hAnsi="Courier New"/>
          <w:vanish/>
        </w:rPr>
        <w:fldChar w:fldCharType="end"/>
      </w:r>
      <w:r w:rsidR="00857EB7" w:rsidRPr="007165A1">
        <w:rPr>
          <w:rStyle w:val="SNUM"/>
          <w:rFonts w:ascii="Courier New" w:hAnsi="Courier New"/>
          <w:noProof w:val="0"/>
        </w:rPr>
        <w:t>36-425.01</w:t>
      </w:r>
      <w:r w:rsidR="00857EB7" w:rsidRPr="007165A1">
        <w:rPr>
          <w:rFonts w:ascii="Courier New" w:hAnsi="Courier New"/>
          <w:noProof w:val="0"/>
        </w:rPr>
        <w:t>.  </w:t>
      </w:r>
      <w:r w:rsidR="00857EB7" w:rsidRPr="007165A1">
        <w:rPr>
          <w:rStyle w:val="SECHEAD"/>
          <w:rFonts w:ascii="Courier New" w:hAnsi="Courier New"/>
          <w:noProof w:val="0"/>
        </w:rPr>
        <w:t>Home health agencies; licensure; definition</w:t>
      </w:r>
    </w:p>
    <w:p w14:paraId="2067AB70" w14:textId="77777777" w:rsidR="00857EB7" w:rsidRPr="007165A1" w:rsidRDefault="00857EB7">
      <w:pPr>
        <w:pStyle w:val="P06-00"/>
        <w:rPr>
          <w:rFonts w:ascii="Courier New" w:hAnsi="Courier New"/>
          <w:noProof w:val="0"/>
        </w:rPr>
      </w:pPr>
      <w:r w:rsidRPr="007165A1">
        <w:rPr>
          <w:rFonts w:ascii="Courier New" w:hAnsi="Courier New"/>
          <w:noProof w:val="0"/>
        </w:rPr>
        <w:t>A.  The department by rule shall license home health agencies.  The department shall prescribe a licensure period that does not exceed two years.</w:t>
      </w:r>
    </w:p>
    <w:p w14:paraId="44289864" w14:textId="77777777" w:rsidR="00857EB7" w:rsidRPr="007165A1" w:rsidRDefault="00857EB7">
      <w:pPr>
        <w:pStyle w:val="P06-00"/>
        <w:rPr>
          <w:rFonts w:ascii="Courier New" w:hAnsi="Courier New"/>
          <w:noProof w:val="0"/>
        </w:rPr>
      </w:pPr>
      <w:r w:rsidRPr="007165A1">
        <w:rPr>
          <w:rFonts w:ascii="Courier New" w:hAnsi="Courier New"/>
          <w:noProof w:val="0"/>
        </w:rPr>
        <w:t>B.  In lieu of a state licensure survey, the department shall issue a license to a home health agency that submits an application prescribed by the department and that meets the following requirements:</w:t>
      </w:r>
    </w:p>
    <w:p w14:paraId="646B10B6" w14:textId="77777777" w:rsidR="00857EB7" w:rsidRPr="007165A1" w:rsidRDefault="00857EB7">
      <w:pPr>
        <w:pStyle w:val="P06-00"/>
        <w:rPr>
          <w:rFonts w:ascii="Courier New" w:hAnsi="Courier New"/>
          <w:noProof w:val="0"/>
        </w:rPr>
      </w:pPr>
      <w:r w:rsidRPr="007165A1">
        <w:rPr>
          <w:rFonts w:ascii="Courier New" w:hAnsi="Courier New"/>
          <w:noProof w:val="0"/>
        </w:rPr>
        <w:t xml:space="preserve">1.  Is certified as a home health agency by </w:t>
      </w:r>
      <w:proofErr w:type="spellStart"/>
      <w:r w:rsidRPr="007165A1">
        <w:rPr>
          <w:rFonts w:ascii="Courier New" w:hAnsi="Courier New"/>
          <w:noProof w:val="0"/>
        </w:rPr>
        <w:t>medicare</w:t>
      </w:r>
      <w:proofErr w:type="spellEnd"/>
      <w:r w:rsidRPr="007165A1">
        <w:rPr>
          <w:rFonts w:ascii="Courier New" w:hAnsi="Courier New"/>
          <w:noProof w:val="0"/>
        </w:rPr>
        <w:t>.</w:t>
      </w:r>
    </w:p>
    <w:p w14:paraId="7A6D14E5" w14:textId="77777777" w:rsidR="00857EB7" w:rsidRPr="007165A1" w:rsidRDefault="00857EB7">
      <w:pPr>
        <w:pStyle w:val="P06-00"/>
        <w:rPr>
          <w:rFonts w:ascii="Courier New" w:hAnsi="Courier New"/>
          <w:noProof w:val="0"/>
        </w:rPr>
      </w:pPr>
      <w:r w:rsidRPr="007165A1">
        <w:rPr>
          <w:rFonts w:ascii="Courier New" w:hAnsi="Courier New"/>
          <w:noProof w:val="0"/>
        </w:rPr>
        <w:t>2.  Is licensed by the department for at least one year.</w:t>
      </w:r>
    </w:p>
    <w:p w14:paraId="45C77BEB" w14:textId="77777777" w:rsidR="00857EB7" w:rsidRPr="007165A1" w:rsidRDefault="00857EB7">
      <w:pPr>
        <w:pStyle w:val="P06-00"/>
        <w:rPr>
          <w:rFonts w:ascii="Courier New" w:hAnsi="Courier New"/>
          <w:noProof w:val="0"/>
        </w:rPr>
      </w:pPr>
      <w:r w:rsidRPr="007165A1">
        <w:rPr>
          <w:rFonts w:ascii="Courier New" w:hAnsi="Courier New"/>
          <w:noProof w:val="0"/>
        </w:rPr>
        <w:t>3.  Meets all department licensure requirements.</w:t>
      </w:r>
    </w:p>
    <w:p w14:paraId="10E9C16A" w14:textId="77777777" w:rsidR="00857EB7" w:rsidRPr="007165A1" w:rsidRDefault="00857EB7">
      <w:pPr>
        <w:pStyle w:val="P06-00"/>
        <w:rPr>
          <w:rFonts w:ascii="Courier New" w:hAnsi="Courier New"/>
          <w:noProof w:val="0"/>
        </w:rPr>
      </w:pPr>
      <w:r w:rsidRPr="007165A1">
        <w:rPr>
          <w:rFonts w:ascii="Courier New" w:hAnsi="Courier New"/>
          <w:noProof w:val="0"/>
        </w:rPr>
        <w:t>C.  The department shall retain full authority over licensed home health agencies to ensure that licensure requirements are maintained.</w:t>
      </w:r>
    </w:p>
    <w:p w14:paraId="72ADA738" w14:textId="77777777" w:rsidR="00857EB7" w:rsidRPr="007165A1" w:rsidRDefault="00857EB7">
      <w:pPr>
        <w:pStyle w:val="P06-00"/>
        <w:rPr>
          <w:rFonts w:ascii="Courier New" w:hAnsi="Courier New"/>
          <w:noProof w:val="0"/>
        </w:rPr>
      </w:pPr>
      <w:r w:rsidRPr="007165A1">
        <w:rPr>
          <w:rFonts w:ascii="Courier New" w:hAnsi="Courier New"/>
          <w:noProof w:val="0"/>
        </w:rPr>
        <w:t>D.  For the purposes of this section, "home health agency" has the same meaning as prescribed in section 36</w:t>
      </w:r>
      <w:r w:rsidRPr="007165A1">
        <w:rPr>
          <w:rFonts w:ascii="Courier New" w:hAnsi="Courier New"/>
          <w:noProof w:val="0"/>
        </w:rPr>
        <w:noBreakHyphen/>
        <w:t xml:space="preserve">151. </w:t>
      </w:r>
      <w:r w:rsidR="00AA2D6D" w:rsidRPr="007165A1">
        <w:rPr>
          <w:rFonts w:ascii="Courier New" w:hAnsi="Courier New"/>
          <w:vanish/>
        </w:rPr>
        <w:fldChar w:fldCharType="begin"/>
      </w:r>
      <w:r w:rsidR="00AA2D6D" w:rsidRPr="007165A1">
        <w:rPr>
          <w:rFonts w:ascii="Courier New" w:hAnsi="Courier New"/>
          <w:vanish/>
        </w:rPr>
        <w:instrText xml:space="preserve"> COMMENTS END_STATUTE \* MERGEFORMAT </w:instrText>
      </w:r>
      <w:r w:rsidR="00AA2D6D" w:rsidRPr="007165A1">
        <w:rPr>
          <w:rFonts w:ascii="Courier New" w:hAnsi="Courier New"/>
          <w:vanish/>
        </w:rPr>
        <w:fldChar w:fldCharType="separate"/>
      </w:r>
      <w:r w:rsidR="00AA2D6D" w:rsidRPr="007165A1">
        <w:rPr>
          <w:rFonts w:ascii="Courier New" w:hAnsi="Courier New"/>
          <w:vanish/>
        </w:rPr>
        <w:t>END_STATUTE</w:t>
      </w:r>
      <w:r w:rsidR="00AA2D6D" w:rsidRPr="007165A1">
        <w:rPr>
          <w:rFonts w:ascii="Courier New" w:hAnsi="Courier New"/>
          <w:vanish/>
        </w:rPr>
        <w:fldChar w:fldCharType="end"/>
      </w:r>
    </w:p>
    <w:sectPr w:rsidR="00857EB7" w:rsidRPr="007165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90031" w14:textId="77777777" w:rsidR="00857EB7" w:rsidRDefault="00857EB7">
      <w:r>
        <w:separator/>
      </w:r>
    </w:p>
  </w:endnote>
  <w:endnote w:type="continuationSeparator" w:id="0">
    <w:p w14:paraId="763A95CC" w14:textId="77777777" w:rsidR="00857EB7" w:rsidRDefault="0085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73D78" w14:textId="77777777" w:rsidR="00857EB7" w:rsidRDefault="00857E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A8212" w14:textId="77777777" w:rsidR="00857EB7" w:rsidRDefault="00857EB7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25F75" w14:textId="77777777" w:rsidR="00857EB7" w:rsidRDefault="00857E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4F387" w14:textId="77777777" w:rsidR="00857EB7" w:rsidRDefault="00857EB7">
      <w:r>
        <w:separator/>
      </w:r>
    </w:p>
  </w:footnote>
  <w:footnote w:type="continuationSeparator" w:id="0">
    <w:p w14:paraId="17504A90" w14:textId="77777777" w:rsidR="00857EB7" w:rsidRDefault="00857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4407D" w14:textId="77777777" w:rsidR="00857EB7" w:rsidRDefault="00857E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34324" w14:textId="77777777" w:rsidR="00857EB7" w:rsidRDefault="00857EB7">
    <w:pPr>
      <w:pStyle w:val="Header"/>
    </w:pPr>
  </w:p>
  <w:p w14:paraId="00639373" w14:textId="77777777" w:rsidR="00857EB7" w:rsidRDefault="00857EB7">
    <w:pPr>
      <w:pStyle w:val="Header"/>
    </w:pPr>
  </w:p>
  <w:p w14:paraId="071C4E51" w14:textId="77777777" w:rsidR="00857EB7" w:rsidRDefault="00857EB7">
    <w:pPr>
      <w:pStyle w:val="Header"/>
    </w:pPr>
  </w:p>
  <w:p w14:paraId="63F51AFE" w14:textId="77777777" w:rsidR="00857EB7" w:rsidRDefault="00857EB7">
    <w:pPr>
      <w:pStyle w:val="Header"/>
    </w:pPr>
  </w:p>
  <w:p w14:paraId="4D1978E0" w14:textId="77777777" w:rsidR="00857EB7" w:rsidRDefault="00857E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CE148" w14:textId="77777777" w:rsidR="00857EB7" w:rsidRDefault="00857E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clean"/>
  <w:attachedTemplate r:id="rId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560"/>
    <w:rsid w:val="00212560"/>
    <w:rsid w:val="007165A1"/>
    <w:rsid w:val="00857EB7"/>
    <w:rsid w:val="00AA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6513CD3"/>
  <w15:chartTrackingRefBased/>
  <w15:docId w15:val="{AC515CD6-28B3-496C-8BFE-8C75AEF67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rPr>
      <w:color w:val="008000"/>
    </w:rPr>
  </w:style>
  <w:style w:type="character" w:customStyle="1" w:styleId="UP">
    <w:name w:val="UP"/>
    <w:rPr>
      <w:caps/>
      <w:noProof w:val="0"/>
      <w:color w:val="0000FF"/>
      <w:lang w:val="en-US"/>
    </w:rPr>
  </w:style>
  <w:style w:type="character" w:customStyle="1" w:styleId="O">
    <w:name w:val="O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  <w:semiHidden/>
  </w:style>
  <w:style w:type="paragraph" w:styleId="Header">
    <w:name w:val="header"/>
    <w:basedOn w:val="Normal"/>
    <w:semiHidden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semiHidden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semiHidden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widowControl/>
      <w:suppressLineNumbers/>
    </w:pPr>
  </w:style>
  <w:style w:type="character" w:customStyle="1" w:styleId="INTRO">
    <w:name w:val="INTRO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145</Words>
  <Characters>775</Characters>
  <Application>Microsoft Office Word</Application>
  <DocSecurity>0</DocSecurity>
  <Lines>14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36-425</vt:lpstr>
    </vt:vector>
  </TitlesOfParts>
  <Company>LCS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36-425.01; Home health agencies; licensure; definition</dc:title>
  <dc:subject>Home health agencies; licensure; definition</dc:subject>
  <dc:creator>Arizona Legislative Council</dc:creator>
  <cp:keywords/>
  <dc:description>36_x001e_425.01</dc:description>
  <cp:lastModifiedBy>dbupdate</cp:lastModifiedBy>
  <cp:revision>2</cp:revision>
  <cp:lastPrinted>1999-03-22T18:35:00Z</cp:lastPrinted>
  <dcterms:created xsi:type="dcterms:W3CDTF">2025-09-21T00:14:00Z</dcterms:created>
  <dcterms:modified xsi:type="dcterms:W3CDTF">2025-09-21T00:14:00Z</dcterms:modified>
</cp:coreProperties>
</file>