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9330" w14:textId="77777777" w:rsidR="00830D9F" w:rsidRPr="00A50BE8" w:rsidRDefault="00830D9F" w:rsidP="00830D9F">
      <w:pPr>
        <w:pStyle w:val="SEC06-18"/>
        <w:rPr>
          <w:rFonts w:ascii="Courier New" w:hAnsi="Courier New" w:cs="Courier New"/>
        </w:rPr>
      </w:pPr>
      <w:r w:rsidRPr="00A50BE8">
        <w:rPr>
          <w:rFonts w:ascii="Courier New" w:hAnsi="Courier New" w:cs="Courier New"/>
        </w:rPr>
        <w:fldChar w:fldCharType="begin"/>
      </w:r>
      <w:r w:rsidRPr="00A50BE8">
        <w:rPr>
          <w:rFonts w:ascii="Courier New" w:hAnsi="Courier New" w:cs="Courier New"/>
        </w:rPr>
        <w:instrText xml:space="preserve"> COMMENTS START_STATUTE \* MERGEFORMAT </w:instrText>
      </w:r>
      <w:r w:rsidRPr="00A50BE8">
        <w:rPr>
          <w:rFonts w:ascii="Courier New" w:hAnsi="Courier New" w:cs="Courier New"/>
        </w:rPr>
        <w:fldChar w:fldCharType="separate"/>
      </w:r>
      <w:r w:rsidRPr="00A50BE8">
        <w:rPr>
          <w:rFonts w:ascii="Courier New" w:hAnsi="Courier New" w:cs="Courier New"/>
          <w:vanish/>
        </w:rPr>
        <w:t>START_STATUTE</w:t>
      </w:r>
      <w:r w:rsidRPr="00A50BE8">
        <w:rPr>
          <w:rFonts w:ascii="Courier New" w:hAnsi="Courier New" w:cs="Courier New"/>
        </w:rPr>
        <w:fldChar w:fldCharType="end"/>
      </w:r>
      <w:r w:rsidRPr="00A50BE8">
        <w:rPr>
          <w:rStyle w:val="SNUM"/>
          <w:rFonts w:ascii="Courier New" w:hAnsi="Courier New" w:cs="Courier New"/>
        </w:rPr>
        <w:t>33-2101.</w:t>
      </w:r>
      <w:r w:rsidRPr="00A50BE8">
        <w:rPr>
          <w:rFonts w:ascii="Courier New" w:hAnsi="Courier New" w:cs="Courier New"/>
        </w:rPr>
        <w:t>  </w:t>
      </w:r>
      <w:r w:rsidRPr="00A50BE8">
        <w:rPr>
          <w:rStyle w:val="SECHEAD"/>
          <w:rFonts w:ascii="Courier New" w:hAnsi="Courier New" w:cs="Courier New"/>
        </w:rPr>
        <w:t>Application; duration of stay; exclusions; notice and pleading requirements</w:t>
      </w:r>
    </w:p>
    <w:p w14:paraId="311B4459" w14:textId="77777777" w:rsidR="00830D9F" w:rsidRPr="00A50BE8" w:rsidRDefault="00830D9F" w:rsidP="00830D9F">
      <w:pPr>
        <w:pStyle w:val="P06-00"/>
        <w:rPr>
          <w:rFonts w:ascii="Courier New" w:hAnsi="Courier New" w:cs="Courier New"/>
        </w:rPr>
      </w:pPr>
      <w:r w:rsidRPr="00A50BE8">
        <w:rPr>
          <w:rFonts w:ascii="Courier New" w:hAnsi="Courier New" w:cs="Courier New"/>
        </w:rPr>
        <w:t xml:space="preserve">A.  This chapter applies to, regulates and determines rights, obligations and remedies for a recreational vehicle space </w:t>
      </w:r>
      <w:r w:rsidR="007D26A2" w:rsidRPr="00A50BE8">
        <w:rPr>
          <w:rFonts w:ascii="Courier New" w:hAnsi="Courier New" w:cs="Courier New"/>
        </w:rPr>
        <w:t xml:space="preserve">that is </w:t>
      </w:r>
      <w:r w:rsidRPr="00A50BE8">
        <w:rPr>
          <w:rFonts w:ascii="Courier New" w:hAnsi="Courier New" w:cs="Courier New"/>
        </w:rPr>
        <w:t>rented in a recreational vehicle park or mobile home park by the same tenant under a rental agreement for more than one hundred eighty consecutive days.  For a park model or park trailer that is located in a recreational vehicle park or mobile home park, this chapter applies if the space is rented by the same tenant for more than one hundred eighty consecutive days without regard to whether a rental agreement is executed.</w:t>
      </w:r>
    </w:p>
    <w:p w14:paraId="7E19CEBD" w14:textId="77777777" w:rsidR="00830D9F" w:rsidRPr="00A50BE8" w:rsidRDefault="00830D9F" w:rsidP="00830D9F">
      <w:pPr>
        <w:pStyle w:val="P06-00"/>
        <w:rPr>
          <w:rFonts w:ascii="Courier New" w:hAnsi="Courier New" w:cs="Courier New"/>
        </w:rPr>
      </w:pPr>
      <w:r w:rsidRPr="00A50BE8">
        <w:rPr>
          <w:rFonts w:ascii="Courier New" w:hAnsi="Courier New" w:cs="Courier New"/>
        </w:rPr>
        <w:t>B.  This chapter does not apply to mobile homes, manufactured homes and factory</w:t>
      </w:r>
      <w:r w:rsidRPr="00A50BE8">
        <w:rPr>
          <w:rFonts w:ascii="Courier New" w:hAnsi="Courier New" w:cs="Courier New"/>
        </w:rPr>
        <w:noBreakHyphen/>
        <w:t>built buildings or to a property with one or two recreational vehicle rental spaces.</w:t>
      </w:r>
    </w:p>
    <w:p w14:paraId="3F1D306E" w14:textId="77777777" w:rsidR="00F540AD" w:rsidRPr="00A50BE8" w:rsidRDefault="00830D9F" w:rsidP="00830D9F">
      <w:pPr>
        <w:pStyle w:val="P06-00"/>
        <w:rPr>
          <w:rFonts w:ascii="Courier New" w:hAnsi="Courier New" w:cs="Courier New"/>
        </w:rPr>
      </w:pPr>
      <w:r w:rsidRPr="00A50BE8">
        <w:rPr>
          <w:rFonts w:ascii="Courier New" w:hAnsi="Courier New" w:cs="Courier New"/>
        </w:rPr>
        <w:t xml:space="preserve">C.  Notwithstanding any other law, an agency of this state and an individual court may not adopt or enforce a rule or policy that requires a mandatory or technical form for providing notice or for pleadings in an action for forcible entry or forcible or special detainer.  The form of any notice or pleading that meets statutory requirements for content and formatting of a notice or pleading is sufficient to provide notice and to pursue an action for forcible entry or forcible or special detainer. </w:t>
      </w:r>
      <w:r w:rsidRPr="00A50BE8">
        <w:rPr>
          <w:rFonts w:ascii="Courier New" w:hAnsi="Courier New" w:cs="Courier New"/>
        </w:rPr>
        <w:fldChar w:fldCharType="begin"/>
      </w:r>
      <w:r w:rsidRPr="00A50BE8">
        <w:rPr>
          <w:rFonts w:ascii="Courier New" w:hAnsi="Courier New" w:cs="Courier New"/>
        </w:rPr>
        <w:instrText xml:space="preserve"> COMMENTS END_STATUTE \* MERGEFORMAT </w:instrText>
      </w:r>
      <w:r w:rsidRPr="00A50BE8">
        <w:rPr>
          <w:rFonts w:ascii="Courier New" w:hAnsi="Courier New" w:cs="Courier New"/>
        </w:rPr>
        <w:fldChar w:fldCharType="separate"/>
      </w:r>
      <w:r w:rsidRPr="00A50BE8">
        <w:rPr>
          <w:rFonts w:ascii="Courier New" w:hAnsi="Courier New" w:cs="Courier New"/>
          <w:vanish/>
        </w:rPr>
        <w:t>END_STATUTE</w:t>
      </w:r>
      <w:r w:rsidRPr="00A50BE8">
        <w:rPr>
          <w:rFonts w:ascii="Courier New" w:hAnsi="Courier New" w:cs="Courier New"/>
        </w:rPr>
        <w:fldChar w:fldCharType="end"/>
      </w:r>
    </w:p>
    <w:sectPr w:rsidR="00F540AD" w:rsidRPr="00A50BE8" w:rsidSect="00830D9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E527" w14:textId="77777777" w:rsidR="009A59A4" w:rsidRDefault="009A59A4">
      <w:r>
        <w:separator/>
      </w:r>
    </w:p>
  </w:endnote>
  <w:endnote w:type="continuationSeparator" w:id="0">
    <w:p w14:paraId="0C53E442" w14:textId="77777777" w:rsidR="009A59A4" w:rsidRDefault="009A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C27A4" w14:textId="77777777" w:rsidR="009A59A4" w:rsidRDefault="009A59A4">
      <w:r>
        <w:separator/>
      </w:r>
    </w:p>
  </w:footnote>
  <w:footnote w:type="continuationSeparator" w:id="0">
    <w:p w14:paraId="1C8D4232" w14:textId="77777777" w:rsidR="009A59A4" w:rsidRDefault="009A5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51485042">
    <w:abstractNumId w:val="1"/>
  </w:num>
  <w:num w:numId="2" w16cid:durableId="590312419">
    <w:abstractNumId w:val="1"/>
  </w:num>
  <w:num w:numId="3" w16cid:durableId="2023776447">
    <w:abstractNumId w:val="0"/>
  </w:num>
  <w:num w:numId="4" w16cid:durableId="611984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9F"/>
    <w:rsid w:val="006C5E31"/>
    <w:rsid w:val="007D26A2"/>
    <w:rsid w:val="00830D9F"/>
    <w:rsid w:val="009A59A4"/>
    <w:rsid w:val="00A50BE8"/>
    <w:rsid w:val="00D06DD6"/>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D9221"/>
  <w15:chartTrackingRefBased/>
  <w15:docId w15:val="{00DC6B69-B27F-4444-A049-798C35DD2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830D9F"/>
    <w:rPr>
      <w:rFonts w:ascii="Letter-Gothic-Drafting" w:hAnsi="Letter-Gothic-Drafting"/>
      <w:b/>
      <w:snapToGrid w:val="0"/>
    </w:rPr>
  </w:style>
  <w:style w:type="character" w:customStyle="1" w:styleId="SEC06-18Char">
    <w:name w:val="SEC 06-18 Char"/>
    <w:link w:val="SEC06-18"/>
    <w:rsid w:val="00830D9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232</Words>
  <Characters>1181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33-2101; Application; duration of stay; exclusions; notice and pleading requirements_x000d_</vt:lpstr>
    </vt:vector>
  </TitlesOfParts>
  <Company>LCS</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33-2101; Application; duration of stay; exclusions; notice and pleading requirements</dc:title>
  <dc:subject>Application; duration of stay; exclusions; notice and pleading requirements</dc:subject>
  <dc:creator>Arizona Legislative Council</dc:creator>
  <cp:keywords/>
  <dc:description>0079.docx - 532R - 2018</dc:description>
  <cp:lastModifiedBy>dbupdate</cp:lastModifiedBy>
  <cp:revision>2</cp:revision>
  <cp:lastPrinted>2018-07-27T17:32:00Z</cp:lastPrinted>
  <dcterms:created xsi:type="dcterms:W3CDTF">2026-09-09T21:09:00Z</dcterms:created>
  <dcterms:modified xsi:type="dcterms:W3CDTF">2026-09-09T21:09:00Z</dcterms:modified>
</cp:coreProperties>
</file>