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EB3A5" w14:textId="77777777" w:rsidR="0018512F" w:rsidRPr="00251C5A" w:rsidRDefault="00013624">
      <w:pPr>
        <w:pStyle w:val="SEC06-18"/>
        <w:rPr>
          <w:rFonts w:ascii="Courier New" w:hAnsi="Courier New"/>
          <w:noProof w:val="0"/>
        </w:rPr>
      </w:pPr>
      <w:r w:rsidRPr="00251C5A">
        <w:rPr>
          <w:rFonts w:ascii="Courier New" w:hAnsi="Courier New"/>
          <w:vanish/>
        </w:rPr>
        <w:fldChar w:fldCharType="begin"/>
      </w:r>
      <w:r w:rsidRPr="00251C5A">
        <w:rPr>
          <w:rFonts w:ascii="Courier New" w:hAnsi="Courier New"/>
          <w:vanish/>
        </w:rPr>
        <w:instrText xml:space="preserve"> COMMENTS START_STATUTE \* MERGEFORMAT </w:instrText>
      </w:r>
      <w:r w:rsidRPr="00251C5A">
        <w:rPr>
          <w:rFonts w:ascii="Courier New" w:hAnsi="Courier New"/>
          <w:vanish/>
        </w:rPr>
        <w:fldChar w:fldCharType="separate"/>
      </w:r>
      <w:r w:rsidRPr="00251C5A">
        <w:rPr>
          <w:rFonts w:ascii="Courier New" w:hAnsi="Courier New"/>
          <w:vanish/>
        </w:rPr>
        <w:t>START_STATUTE</w:t>
      </w:r>
      <w:r w:rsidRPr="00251C5A">
        <w:rPr>
          <w:rFonts w:ascii="Courier New" w:hAnsi="Courier New"/>
          <w:vanish/>
        </w:rPr>
        <w:fldChar w:fldCharType="end"/>
      </w:r>
      <w:r w:rsidR="0018512F" w:rsidRPr="00251C5A">
        <w:rPr>
          <w:rStyle w:val="SNUM"/>
          <w:rFonts w:ascii="Courier New" w:hAnsi="Courier New"/>
          <w:noProof w:val="0"/>
        </w:rPr>
        <w:t>33-1252</w:t>
      </w:r>
      <w:r w:rsidR="0018512F" w:rsidRPr="00251C5A">
        <w:rPr>
          <w:rFonts w:ascii="Courier New" w:hAnsi="Courier New"/>
          <w:noProof w:val="0"/>
        </w:rPr>
        <w:t>.  </w:t>
      </w:r>
      <w:r w:rsidR="0018512F" w:rsidRPr="00251C5A">
        <w:rPr>
          <w:rStyle w:val="SECHEAD"/>
          <w:rFonts w:ascii="Courier New" w:hAnsi="Courier New"/>
          <w:noProof w:val="0"/>
        </w:rPr>
        <w:t>Conveyance or encumbrance of common elements</w:t>
      </w:r>
    </w:p>
    <w:p w14:paraId="69CE94C9" w14:textId="77777777" w:rsidR="0018512F" w:rsidRPr="00251C5A" w:rsidRDefault="0018512F">
      <w:pPr>
        <w:pStyle w:val="P06-00"/>
        <w:rPr>
          <w:rFonts w:ascii="Courier New" w:hAnsi="Courier New"/>
          <w:noProof w:val="0"/>
        </w:rPr>
      </w:pPr>
      <w:r w:rsidRPr="00251C5A">
        <w:rPr>
          <w:rFonts w:ascii="Courier New" w:hAnsi="Courier New"/>
          <w:noProof w:val="0"/>
        </w:rPr>
        <w:t>A.  Portions of the common elements may be conveyed or subjected to a mortgage, deed of trust or security interest by the association if persons entitled to cast at least eighty per cent of the votes in the association, or any larger percentage the declaration specifies, agree to that action in the manner prescribed in subsection B, except that all the owners of units to which any limited common element is allocated must agree in order to convey that limited common element or subject it to a mortgage, deed of trust or security interest.  The declaration may specify a smaller percentage only if all of the units in the condominium are restricted exclusively to nonresidential uses.  Proceeds of the sale or encumbrance of the common elements are an asset of the association.</w:t>
      </w:r>
    </w:p>
    <w:p w14:paraId="352EC6AD" w14:textId="77777777" w:rsidR="0018512F" w:rsidRPr="00251C5A" w:rsidRDefault="0018512F">
      <w:pPr>
        <w:pStyle w:val="P06-00"/>
        <w:rPr>
          <w:rFonts w:ascii="Courier New" w:hAnsi="Courier New"/>
          <w:noProof w:val="0"/>
        </w:rPr>
      </w:pPr>
      <w:r w:rsidRPr="00251C5A">
        <w:rPr>
          <w:rFonts w:ascii="Courier New" w:hAnsi="Courier New"/>
          <w:noProof w:val="0"/>
        </w:rPr>
        <w:t>B.  An agreement to convey common elements or subject them to a mortgage, deed of trust or security interest shall be evidenced by the execution of an agreement, or ratifications of the agreement, in the same manner as a deed, by the requisite number of unit owners.  The agreement shall specify a date after which the agreement will be void unless previously recorded.  The agreement and all ratifications of the agreement shall be recorded in each county in which a portion of the condominium is situated and are effective only on recordation.</w:t>
      </w:r>
    </w:p>
    <w:p w14:paraId="5E88A4A7" w14:textId="77777777" w:rsidR="0018512F" w:rsidRPr="00251C5A" w:rsidRDefault="0018512F">
      <w:pPr>
        <w:pStyle w:val="P06-00"/>
        <w:rPr>
          <w:rFonts w:ascii="Courier New" w:hAnsi="Courier New"/>
          <w:noProof w:val="0"/>
        </w:rPr>
      </w:pPr>
      <w:r w:rsidRPr="00251C5A">
        <w:rPr>
          <w:rFonts w:ascii="Courier New" w:hAnsi="Courier New"/>
          <w:noProof w:val="0"/>
        </w:rPr>
        <w:t>C.  The association, on behalf of the unit owners, may contract to convey common elements or subject them to a mortgage, deed of trust or security interest, but the contract is not enforceable against the association until approved pursuant to subsections A and B.  Thereafter, the association has all powers necessary and appropriate to effect the conveyance or encumbrance, including the power to execute deeds or other instruments.</w:t>
      </w:r>
    </w:p>
    <w:p w14:paraId="3B217149" w14:textId="77777777" w:rsidR="0018512F" w:rsidRPr="00251C5A" w:rsidRDefault="0018512F">
      <w:pPr>
        <w:pStyle w:val="P06-00"/>
        <w:rPr>
          <w:rFonts w:ascii="Courier New" w:hAnsi="Courier New"/>
          <w:noProof w:val="0"/>
        </w:rPr>
      </w:pPr>
      <w:r w:rsidRPr="00251C5A">
        <w:rPr>
          <w:rFonts w:ascii="Courier New" w:hAnsi="Courier New"/>
          <w:noProof w:val="0"/>
        </w:rPr>
        <w:t>D.  Except as permitted in this chapter, any purported conveyance, encumbrance, judicial sale or other voluntary transfer of common elements is void.</w:t>
      </w:r>
    </w:p>
    <w:p w14:paraId="0D03D676" w14:textId="77777777" w:rsidR="0018512F" w:rsidRPr="00251C5A" w:rsidRDefault="0018512F">
      <w:pPr>
        <w:pStyle w:val="P06-00"/>
        <w:rPr>
          <w:rFonts w:ascii="Courier New" w:hAnsi="Courier New"/>
          <w:noProof w:val="0"/>
        </w:rPr>
      </w:pPr>
      <w:r w:rsidRPr="00251C5A">
        <w:rPr>
          <w:rFonts w:ascii="Courier New" w:hAnsi="Courier New"/>
          <w:noProof w:val="0"/>
        </w:rPr>
        <w:t>E.  A conveyance or encumbrance of common elements pursuant to this section does not deprive any unit of its rights of access and support.</w:t>
      </w:r>
    </w:p>
    <w:p w14:paraId="674737A5" w14:textId="77777777" w:rsidR="0018512F" w:rsidRPr="00251C5A" w:rsidRDefault="0018512F">
      <w:pPr>
        <w:pStyle w:val="P06-00"/>
        <w:rPr>
          <w:rFonts w:ascii="Courier New" w:hAnsi="Courier New"/>
          <w:noProof w:val="0"/>
        </w:rPr>
      </w:pPr>
      <w:r w:rsidRPr="00251C5A">
        <w:rPr>
          <w:rFonts w:ascii="Courier New" w:hAnsi="Courier New"/>
          <w:noProof w:val="0"/>
        </w:rPr>
        <w:t xml:space="preserve">F.  A conveyance or encumbrance of common elements pursuant to this section does not affect the priority or validity of preexisting encumbrances. </w:t>
      </w:r>
      <w:r w:rsidR="00EE3279" w:rsidRPr="00251C5A">
        <w:rPr>
          <w:rFonts w:ascii="Courier New" w:hAnsi="Courier New"/>
          <w:vanish/>
        </w:rPr>
        <w:fldChar w:fldCharType="begin"/>
      </w:r>
      <w:r w:rsidR="00EE3279" w:rsidRPr="00251C5A">
        <w:rPr>
          <w:rFonts w:ascii="Courier New" w:hAnsi="Courier New"/>
          <w:vanish/>
        </w:rPr>
        <w:instrText xml:space="preserve"> COMMENTS END_STATUTE \* MERGEFORMAT </w:instrText>
      </w:r>
      <w:r w:rsidR="00EE3279" w:rsidRPr="00251C5A">
        <w:rPr>
          <w:rFonts w:ascii="Courier New" w:hAnsi="Courier New"/>
          <w:vanish/>
        </w:rPr>
        <w:fldChar w:fldCharType="separate"/>
      </w:r>
      <w:r w:rsidR="00EE3279" w:rsidRPr="00251C5A">
        <w:rPr>
          <w:rFonts w:ascii="Courier New" w:hAnsi="Courier New"/>
          <w:vanish/>
        </w:rPr>
        <w:t>END_STATUTE</w:t>
      </w:r>
      <w:r w:rsidR="00EE3279" w:rsidRPr="00251C5A">
        <w:rPr>
          <w:rFonts w:ascii="Courier New" w:hAnsi="Courier New"/>
          <w:vanish/>
        </w:rPr>
        <w:fldChar w:fldCharType="end"/>
      </w:r>
    </w:p>
    <w:sectPr w:rsidR="0018512F" w:rsidRPr="00251C5A">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B34A0" w14:textId="77777777" w:rsidR="00AE4E6C" w:rsidRDefault="00AE4E6C">
      <w:r>
        <w:separator/>
      </w:r>
    </w:p>
  </w:endnote>
  <w:endnote w:type="continuationSeparator" w:id="0">
    <w:p w14:paraId="241DC36A" w14:textId="77777777" w:rsidR="00AE4E6C" w:rsidRDefault="00AE4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98AD8" w14:textId="77777777" w:rsidR="0018512F" w:rsidRDefault="001851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8CC56" w14:textId="77777777" w:rsidR="0018512F" w:rsidRDefault="0018512F">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7DB25" w14:textId="77777777" w:rsidR="0018512F" w:rsidRDefault="001851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C3E63" w14:textId="77777777" w:rsidR="00AE4E6C" w:rsidRDefault="00AE4E6C">
      <w:r>
        <w:separator/>
      </w:r>
    </w:p>
  </w:footnote>
  <w:footnote w:type="continuationSeparator" w:id="0">
    <w:p w14:paraId="10C6B573" w14:textId="77777777" w:rsidR="00AE4E6C" w:rsidRDefault="00AE4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AA1BB" w14:textId="77777777" w:rsidR="0018512F" w:rsidRDefault="001851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940AD" w14:textId="77777777" w:rsidR="0018512F" w:rsidRDefault="0018512F">
    <w:pPr>
      <w:pStyle w:val="Header"/>
    </w:pPr>
  </w:p>
  <w:p w14:paraId="62B31CCA" w14:textId="77777777" w:rsidR="0018512F" w:rsidRDefault="0018512F">
    <w:pPr>
      <w:pStyle w:val="Header"/>
    </w:pPr>
  </w:p>
  <w:p w14:paraId="0C645976" w14:textId="77777777" w:rsidR="0018512F" w:rsidRDefault="0018512F">
    <w:pPr>
      <w:pStyle w:val="Header"/>
    </w:pPr>
  </w:p>
  <w:p w14:paraId="00C8C2D0" w14:textId="77777777" w:rsidR="0018512F" w:rsidRDefault="0018512F">
    <w:pPr>
      <w:pStyle w:val="Header"/>
    </w:pPr>
  </w:p>
  <w:p w14:paraId="30E648DB" w14:textId="77777777" w:rsidR="0018512F" w:rsidRDefault="001851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7A70E" w14:textId="77777777" w:rsidR="0018512F" w:rsidRDefault="001851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279"/>
    <w:rsid w:val="00013624"/>
    <w:rsid w:val="0018512F"/>
    <w:rsid w:val="00251C5A"/>
    <w:rsid w:val="00AE4E6C"/>
    <w:rsid w:val="00EE3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3F0B1"/>
  <w15:chartTrackingRefBased/>
  <w15:docId w15:val="{EEE401C5-E107-4B44-83F0-C8F624E01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386</Words>
  <Characters>1973</Characters>
  <Application>Microsoft Office Word</Application>
  <DocSecurity>0</DocSecurity>
  <Lines>35</Lines>
  <Paragraphs>8</Paragraphs>
  <ScaleCrop>false</ScaleCrop>
  <HeadingPairs>
    <vt:vector size="2" baseType="variant">
      <vt:variant>
        <vt:lpstr>Title</vt:lpstr>
      </vt:variant>
      <vt:variant>
        <vt:i4>1</vt:i4>
      </vt:variant>
    </vt:vector>
  </HeadingPairs>
  <TitlesOfParts>
    <vt:vector size="1" baseType="lpstr">
      <vt:lpstr>33-1252</vt:lpstr>
    </vt:vector>
  </TitlesOfParts>
  <Company>LCS</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33-1252; Conveyance or encumbrance of common elements</dc:title>
  <dc:subject>Conveyance or encumbrance of common elements</dc:subject>
  <dc:creator>Arizona Legislative Council</dc:creator>
  <cp:keywords/>
  <dc:description>33_x001e_1252</dc:description>
  <cp:lastModifiedBy>dbupdate</cp:lastModifiedBy>
  <cp:revision>2</cp:revision>
  <cp:lastPrinted>1999-03-22T18:35:00Z</cp:lastPrinted>
  <dcterms:created xsi:type="dcterms:W3CDTF">2026-09-09T20:44:00Z</dcterms:created>
  <dcterms:modified xsi:type="dcterms:W3CDTF">2026-09-09T20:44:00Z</dcterms:modified>
</cp:coreProperties>
</file>