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A9B2" w14:textId="7CDAFF28" w:rsidR="002C50B9" w:rsidRPr="00422C6C" w:rsidRDefault="002C50B9" w:rsidP="002C50B9">
      <w:pPr>
        <w:pStyle w:val="SEC06-21"/>
        <w:rPr>
          <w:rFonts w:ascii="Courier New" w:hAnsi="Courier New" w:cs="Courier New"/>
        </w:rPr>
      </w:pPr>
      <w:r w:rsidRPr="00422C6C">
        <w:rPr>
          <w:rFonts w:ascii="Courier New" w:hAnsi="Courier New" w:cs="Courier New"/>
        </w:rPr>
        <w:fldChar w:fldCharType="begin"/>
      </w:r>
      <w:r w:rsidRPr="00422C6C">
        <w:rPr>
          <w:rFonts w:ascii="Courier New" w:hAnsi="Courier New" w:cs="Courier New"/>
        </w:rPr>
        <w:instrText xml:space="preserve"> COMMENTS START_STATUTE \* MERGEFORMAT </w:instrText>
      </w:r>
      <w:r w:rsidRPr="00422C6C">
        <w:rPr>
          <w:rFonts w:ascii="Courier New" w:hAnsi="Courier New" w:cs="Courier New"/>
        </w:rPr>
        <w:fldChar w:fldCharType="separate"/>
      </w:r>
      <w:r w:rsidRPr="00422C6C">
        <w:rPr>
          <w:rFonts w:ascii="Courier New" w:hAnsi="Courier New" w:cs="Courier New"/>
          <w:vanish/>
        </w:rPr>
        <w:t>START_STATUTE</w:t>
      </w:r>
      <w:r w:rsidRPr="00422C6C">
        <w:rPr>
          <w:rFonts w:ascii="Courier New" w:hAnsi="Courier New" w:cs="Courier New"/>
        </w:rPr>
        <w:fldChar w:fldCharType="end"/>
      </w:r>
      <w:r w:rsidRPr="00422C6C">
        <w:rPr>
          <w:rStyle w:val="SNUM"/>
          <w:rFonts w:ascii="Courier New" w:hAnsi="Courier New" w:cs="Courier New"/>
        </w:rPr>
        <w:t>32-3248.01.</w:t>
      </w:r>
      <w:r w:rsidRPr="00422C6C">
        <w:rPr>
          <w:rFonts w:ascii="Courier New" w:hAnsi="Courier New" w:cs="Courier New"/>
        </w:rPr>
        <w:t>  </w:t>
      </w:r>
      <w:r w:rsidRPr="00422C6C">
        <w:rPr>
          <w:rStyle w:val="SECHEAD"/>
          <w:rFonts w:ascii="Courier New" w:hAnsi="Courier New" w:cs="Courier New"/>
        </w:rPr>
        <w:t>Schedule II controlled substances; dosage limit; exceptions; morphine; opioid antagonist; definitions</w:t>
      </w:r>
    </w:p>
    <w:p w14:paraId="5098F146" w14:textId="77777777" w:rsidR="002C50B9" w:rsidRPr="00422C6C" w:rsidRDefault="002C50B9" w:rsidP="002C50B9">
      <w:pPr>
        <w:pStyle w:val="P06-00"/>
        <w:rPr>
          <w:rFonts w:ascii="Courier New" w:hAnsi="Courier New" w:cs="Courier New"/>
        </w:rPr>
      </w:pPr>
      <w:r w:rsidRPr="00422C6C">
        <w:rPr>
          <w:rFonts w:ascii="Courier New" w:hAnsi="Courier New" w:cs="Courier New"/>
        </w:rPr>
        <w:t>A.  A health professional who is authorized under this title to prescribe controlled substances may not issue a new prescription to be filled or dispensed for a patient outside of a health care institution for a schedule II controlled substance that is an opioid that exceeds ninety morphine milligram equivalents per day.</w:t>
      </w:r>
    </w:p>
    <w:p w14:paraId="166CDB94" w14:textId="77777777" w:rsidR="002C50B9" w:rsidRPr="00422C6C" w:rsidRDefault="002C50B9" w:rsidP="002C50B9">
      <w:pPr>
        <w:pStyle w:val="P06-00"/>
        <w:rPr>
          <w:rFonts w:ascii="Courier New" w:hAnsi="Courier New" w:cs="Courier New"/>
        </w:rPr>
      </w:pPr>
      <w:r w:rsidRPr="00422C6C">
        <w:rPr>
          <w:rFonts w:ascii="Courier New" w:hAnsi="Courier New" w:cs="Courier New"/>
        </w:rPr>
        <w:t>B.  The limit prescribed by subsection A of this section does not apply to:</w:t>
      </w:r>
    </w:p>
    <w:p w14:paraId="69308BBD" w14:textId="77777777" w:rsidR="002C50B9" w:rsidRPr="00422C6C" w:rsidRDefault="002C50B9" w:rsidP="002C50B9">
      <w:pPr>
        <w:pStyle w:val="P06-00"/>
        <w:rPr>
          <w:rFonts w:ascii="Courier New" w:hAnsi="Courier New" w:cs="Courier New"/>
        </w:rPr>
      </w:pPr>
      <w:r w:rsidRPr="00422C6C">
        <w:rPr>
          <w:rFonts w:ascii="Courier New" w:hAnsi="Courier New" w:cs="Courier New"/>
        </w:rPr>
        <w:t>1.  A continuation of a prior prescription that was issued within the previous sixty days.</w:t>
      </w:r>
    </w:p>
    <w:p w14:paraId="066DBCBD" w14:textId="77777777" w:rsidR="002C50B9" w:rsidRPr="00422C6C" w:rsidRDefault="002C50B9" w:rsidP="002C50B9">
      <w:pPr>
        <w:pStyle w:val="P06-00"/>
        <w:rPr>
          <w:rFonts w:ascii="Courier New" w:hAnsi="Courier New" w:cs="Courier New"/>
        </w:rPr>
      </w:pPr>
      <w:r w:rsidRPr="00422C6C">
        <w:rPr>
          <w:rFonts w:ascii="Courier New" w:hAnsi="Courier New" w:cs="Courier New"/>
        </w:rPr>
        <w:t>2.  An opioid with a maximum approved total daily dose in the labeling as approved by the United States food and drug administration.</w:t>
      </w:r>
    </w:p>
    <w:p w14:paraId="3AEE416D" w14:textId="77777777" w:rsidR="002C50B9" w:rsidRPr="00422C6C" w:rsidRDefault="002C50B9" w:rsidP="002C50B9">
      <w:pPr>
        <w:pStyle w:val="P06-00"/>
        <w:rPr>
          <w:rFonts w:ascii="Courier New" w:hAnsi="Courier New" w:cs="Courier New"/>
        </w:rPr>
      </w:pPr>
      <w:r w:rsidRPr="00422C6C">
        <w:rPr>
          <w:rFonts w:ascii="Courier New" w:hAnsi="Courier New" w:cs="Courier New"/>
        </w:rPr>
        <w:t>3.  A prescription that is issued following a surgical procedure and that is limited to not more than a fourteen</w:t>
      </w:r>
      <w:r w:rsidRPr="00422C6C">
        <w:rPr>
          <w:rFonts w:ascii="Courier New" w:hAnsi="Courier New" w:cs="Courier New"/>
        </w:rPr>
        <w:noBreakHyphen/>
        <w:t>day supply.</w:t>
      </w:r>
    </w:p>
    <w:p w14:paraId="6150D73A" w14:textId="77777777" w:rsidR="002C50B9" w:rsidRPr="00422C6C" w:rsidRDefault="002C50B9" w:rsidP="002C50B9">
      <w:pPr>
        <w:pStyle w:val="P06-00"/>
        <w:rPr>
          <w:rFonts w:ascii="Courier New" w:hAnsi="Courier New" w:cs="Courier New"/>
        </w:rPr>
      </w:pPr>
      <w:r w:rsidRPr="00422C6C">
        <w:rPr>
          <w:rFonts w:ascii="Courier New" w:hAnsi="Courier New" w:cs="Courier New"/>
        </w:rPr>
        <w:t>4.  A patient who:</w:t>
      </w:r>
    </w:p>
    <w:p w14:paraId="755DA3BC" w14:textId="77777777" w:rsidR="002C50B9" w:rsidRPr="00422C6C" w:rsidRDefault="002C50B9" w:rsidP="002C50B9">
      <w:pPr>
        <w:pStyle w:val="P06-00"/>
        <w:rPr>
          <w:rFonts w:ascii="Courier New" w:hAnsi="Courier New" w:cs="Courier New"/>
        </w:rPr>
      </w:pPr>
      <w:r w:rsidRPr="00422C6C">
        <w:rPr>
          <w:rFonts w:ascii="Courier New" w:hAnsi="Courier New" w:cs="Courier New"/>
        </w:rPr>
        <w:t>(a)  Has an active oncology diagnosis.</w:t>
      </w:r>
    </w:p>
    <w:p w14:paraId="245F5112" w14:textId="7D24D2D1" w:rsidR="002C50B9" w:rsidRPr="00422C6C" w:rsidRDefault="002C50B9" w:rsidP="002C50B9">
      <w:pPr>
        <w:pStyle w:val="P06-00"/>
        <w:rPr>
          <w:rFonts w:ascii="Courier New" w:hAnsi="Courier New" w:cs="Courier New"/>
        </w:rPr>
      </w:pPr>
      <w:r w:rsidRPr="00422C6C">
        <w:rPr>
          <w:rFonts w:ascii="Courier New" w:hAnsi="Courier New" w:cs="Courier New"/>
        </w:rPr>
        <w:t>(b)  Has a traumatic injury.</w:t>
      </w:r>
    </w:p>
    <w:p w14:paraId="77B5D70F" w14:textId="77777777" w:rsidR="002C50B9" w:rsidRPr="00422C6C" w:rsidRDefault="002C50B9" w:rsidP="002C50B9">
      <w:pPr>
        <w:pStyle w:val="P06-00"/>
        <w:rPr>
          <w:rFonts w:ascii="Courier New" w:hAnsi="Courier New" w:cs="Courier New"/>
        </w:rPr>
      </w:pPr>
      <w:r w:rsidRPr="00422C6C">
        <w:rPr>
          <w:rFonts w:ascii="Courier New" w:hAnsi="Courier New" w:cs="Courier New"/>
        </w:rPr>
        <w:t>(c)  Is receiving hospice care.</w:t>
      </w:r>
    </w:p>
    <w:p w14:paraId="16084B25" w14:textId="77777777" w:rsidR="002C50B9" w:rsidRPr="00422C6C" w:rsidRDefault="002C50B9" w:rsidP="002C50B9">
      <w:pPr>
        <w:pStyle w:val="P06-00"/>
        <w:rPr>
          <w:rFonts w:ascii="Courier New" w:hAnsi="Courier New" w:cs="Courier New"/>
        </w:rPr>
      </w:pPr>
      <w:r w:rsidRPr="00422C6C">
        <w:rPr>
          <w:rFonts w:ascii="Courier New" w:hAnsi="Courier New" w:cs="Courier New"/>
        </w:rPr>
        <w:t>(d)  Is receiving end</w:t>
      </w:r>
      <w:r w:rsidRPr="00422C6C">
        <w:rPr>
          <w:rFonts w:ascii="Courier New" w:hAnsi="Courier New" w:cs="Courier New"/>
        </w:rPr>
        <w:noBreakHyphen/>
        <w:t>of</w:t>
      </w:r>
      <w:r w:rsidRPr="00422C6C">
        <w:rPr>
          <w:rFonts w:ascii="Courier New" w:hAnsi="Courier New" w:cs="Courier New"/>
        </w:rPr>
        <w:noBreakHyphen/>
        <w:t>life care.</w:t>
      </w:r>
    </w:p>
    <w:p w14:paraId="5737851C" w14:textId="77777777" w:rsidR="002C50B9" w:rsidRPr="00422C6C" w:rsidRDefault="002C50B9" w:rsidP="002C50B9">
      <w:pPr>
        <w:pStyle w:val="P06-00"/>
        <w:rPr>
          <w:rFonts w:ascii="Courier New" w:hAnsi="Courier New" w:cs="Courier New"/>
        </w:rPr>
      </w:pPr>
      <w:r w:rsidRPr="00422C6C">
        <w:rPr>
          <w:rFonts w:ascii="Courier New" w:hAnsi="Courier New" w:cs="Courier New"/>
        </w:rPr>
        <w:t>(e)  Is receiving palliative care.</w:t>
      </w:r>
    </w:p>
    <w:p w14:paraId="07FA65A2" w14:textId="77777777" w:rsidR="002C50B9" w:rsidRPr="00422C6C" w:rsidRDefault="002C50B9" w:rsidP="002C50B9">
      <w:pPr>
        <w:pStyle w:val="P06-00"/>
        <w:rPr>
          <w:rFonts w:ascii="Courier New" w:hAnsi="Courier New" w:cs="Courier New"/>
        </w:rPr>
      </w:pPr>
      <w:r w:rsidRPr="00422C6C">
        <w:rPr>
          <w:rFonts w:ascii="Courier New" w:hAnsi="Courier New" w:cs="Courier New"/>
        </w:rPr>
        <w:t>(f)  Is receiving skilled nursing facility care.</w:t>
      </w:r>
    </w:p>
    <w:p w14:paraId="2C199EE4" w14:textId="77777777" w:rsidR="002C50B9" w:rsidRPr="00422C6C" w:rsidRDefault="002C50B9" w:rsidP="002C50B9">
      <w:pPr>
        <w:pStyle w:val="P06-00"/>
        <w:rPr>
          <w:rFonts w:ascii="Courier New" w:hAnsi="Courier New" w:cs="Courier New"/>
        </w:rPr>
      </w:pPr>
      <w:r w:rsidRPr="00422C6C">
        <w:rPr>
          <w:rFonts w:ascii="Courier New" w:hAnsi="Courier New" w:cs="Courier New"/>
        </w:rPr>
        <w:t>(g)  Is receiving treatment for burns.</w:t>
      </w:r>
    </w:p>
    <w:p w14:paraId="6DF15CA7" w14:textId="77777777" w:rsidR="002C50B9" w:rsidRPr="00422C6C" w:rsidRDefault="002C50B9" w:rsidP="002C50B9">
      <w:pPr>
        <w:pStyle w:val="P06-00"/>
        <w:rPr>
          <w:rFonts w:ascii="Courier New" w:hAnsi="Courier New" w:cs="Courier New"/>
        </w:rPr>
      </w:pPr>
      <w:r w:rsidRPr="00422C6C">
        <w:rPr>
          <w:rFonts w:ascii="Courier New" w:hAnsi="Courier New" w:cs="Courier New"/>
        </w:rPr>
        <w:t>(h)  Is receiving medication</w:t>
      </w:r>
      <w:r w:rsidRPr="00422C6C">
        <w:rPr>
          <w:rFonts w:ascii="Courier New" w:hAnsi="Courier New" w:cs="Courier New"/>
        </w:rPr>
        <w:noBreakHyphen/>
        <w:t>assisted treatment for a substance use disorder.</w:t>
      </w:r>
    </w:p>
    <w:p w14:paraId="5F7C6BFA" w14:textId="77777777" w:rsidR="002C50B9" w:rsidRPr="00422C6C" w:rsidRDefault="002C50B9" w:rsidP="002C50B9">
      <w:pPr>
        <w:pStyle w:val="P06-00"/>
        <w:rPr>
          <w:rFonts w:ascii="Courier New" w:hAnsi="Courier New" w:cs="Courier New"/>
        </w:rPr>
      </w:pPr>
      <w:r w:rsidRPr="00422C6C">
        <w:rPr>
          <w:rFonts w:ascii="Courier New" w:hAnsi="Courier New" w:cs="Courier New"/>
        </w:rPr>
        <w:t>(i)  Is hospitalized.</w:t>
      </w:r>
    </w:p>
    <w:p w14:paraId="434732A8" w14:textId="77777777" w:rsidR="002C50B9" w:rsidRPr="00422C6C" w:rsidRDefault="002C50B9" w:rsidP="002C50B9">
      <w:pPr>
        <w:pStyle w:val="P06-00"/>
        <w:rPr>
          <w:rFonts w:ascii="Courier New" w:hAnsi="Courier New" w:cs="Courier New"/>
        </w:rPr>
      </w:pPr>
      <w:r w:rsidRPr="00422C6C">
        <w:rPr>
          <w:rFonts w:ascii="Courier New" w:hAnsi="Courier New" w:cs="Courier New"/>
        </w:rPr>
        <w:t>(j)  Has chronic intractable pain.</w:t>
      </w:r>
    </w:p>
    <w:p w14:paraId="1D6F32E5" w14:textId="77777777" w:rsidR="002C50B9" w:rsidRPr="00422C6C" w:rsidRDefault="002C50B9" w:rsidP="002C50B9">
      <w:pPr>
        <w:pStyle w:val="P06-00"/>
        <w:rPr>
          <w:rFonts w:ascii="Courier New" w:hAnsi="Courier New" w:cs="Courier New"/>
        </w:rPr>
      </w:pPr>
      <w:r w:rsidRPr="00422C6C">
        <w:rPr>
          <w:rFonts w:ascii="Courier New" w:hAnsi="Courier New" w:cs="Courier New"/>
        </w:rPr>
        <w:t>(k)  Is receiving opioid treatment for perioperative care following an inpatient surgical procedure.</w:t>
      </w:r>
    </w:p>
    <w:p w14:paraId="4E004931" w14:textId="77777777" w:rsidR="002C50B9" w:rsidRPr="00422C6C" w:rsidRDefault="002C50B9" w:rsidP="002C50B9">
      <w:pPr>
        <w:pStyle w:val="P06-00"/>
        <w:rPr>
          <w:rFonts w:ascii="Courier New" w:hAnsi="Courier New" w:cs="Courier New"/>
        </w:rPr>
      </w:pPr>
      <w:r w:rsidRPr="00422C6C">
        <w:rPr>
          <w:rFonts w:ascii="Courier New" w:hAnsi="Courier New" w:cs="Courier New"/>
        </w:rPr>
        <w:t>C.  If a health professional believes that a patient requires more than ninety morphine milligram equivalents per day and the patient is not exempt from the limit pursuant to subsection B of this section, the health professional shall first consult with a physician who is licensed pursuant to chapter 13 or 17 of this title and who is board</w:t>
      </w:r>
      <w:r w:rsidRPr="00422C6C">
        <w:rPr>
          <w:rFonts w:ascii="Courier New" w:hAnsi="Courier New" w:cs="Courier New"/>
        </w:rPr>
        <w:noBreakHyphen/>
        <w:t>certified in pain, or an opioid assistance and referral call service, if available, that is designated by the department of health services.  The consultation may be done by telephone or through telehealth.  If the opioid assistance and referral call service agrees with the higher dose, the health professional may issue a prescription for more than ninety morphine milligram equivalents per day.  If the consulting physician agrees with the higher dose, the health professional may issue a prescription for more than ninety morphine milligram equivalents per day.  If the consulting physician is not available to consult within forty</w:t>
      </w:r>
      <w:r w:rsidRPr="00422C6C">
        <w:rPr>
          <w:rFonts w:ascii="Courier New" w:hAnsi="Courier New" w:cs="Courier New"/>
        </w:rPr>
        <w:noBreakHyphen/>
        <w:t>eight hours after the request, the health professional may prescribe the amount that the health professional believes the patient requires and subsequently have the consultation.  If the health professional is a physician who is licensed pursuant to chapter 13 or 17 of this title and is board</w:t>
      </w:r>
      <w:r w:rsidRPr="00422C6C">
        <w:rPr>
          <w:rFonts w:ascii="Courier New" w:hAnsi="Courier New" w:cs="Courier New"/>
        </w:rPr>
        <w:noBreakHyphen/>
        <w:t>certified in pain, the health professional may issue a prescription for more than ninety morphine milligram equivalents per day without a consultation under this subsection.</w:t>
      </w:r>
    </w:p>
    <w:p w14:paraId="7C04BA02" w14:textId="7204D040" w:rsidR="002C50B9" w:rsidRPr="00422C6C" w:rsidRDefault="002C50B9" w:rsidP="002C50B9">
      <w:pPr>
        <w:pStyle w:val="P06-00"/>
        <w:rPr>
          <w:rFonts w:ascii="Courier New" w:hAnsi="Courier New" w:cs="Courier New"/>
        </w:rPr>
      </w:pPr>
      <w:r w:rsidRPr="00422C6C">
        <w:rPr>
          <w:rFonts w:ascii="Courier New" w:hAnsi="Courier New" w:cs="Courier New"/>
        </w:rPr>
        <w:t>D.  If a patient is prescribed more than ninety morphine milligram equivalents per day pursuant to subsection B or C of this section, the prescribing health professional shall also prescribe for the patient naloxone hydrochloride or any other opioid antagonist that is approved by the United States food and drug administration to treat opioid</w:t>
      </w:r>
      <w:r w:rsidRPr="00422C6C">
        <w:rPr>
          <w:rFonts w:ascii="Courier New" w:hAnsi="Courier New" w:cs="Courier New"/>
        </w:rPr>
        <w:noBreakHyphen/>
        <w:t>related overdoses.</w:t>
      </w:r>
    </w:p>
    <w:p w14:paraId="5C60DD6E" w14:textId="77777777" w:rsidR="002C50B9" w:rsidRPr="00422C6C" w:rsidRDefault="002C50B9" w:rsidP="002C50B9">
      <w:pPr>
        <w:pStyle w:val="P06-00"/>
        <w:rPr>
          <w:rFonts w:ascii="Courier New" w:hAnsi="Courier New" w:cs="Courier New"/>
        </w:rPr>
      </w:pPr>
      <w:r w:rsidRPr="00422C6C">
        <w:rPr>
          <w:rFonts w:ascii="Courier New" w:hAnsi="Courier New" w:cs="Courier New"/>
        </w:rPr>
        <w:t>E.  The ninety morphine milligram equivalents per day limit prescribed in this section does not apply to a patient with chronic intractable pain once the patient has an established health professional</w:t>
      </w:r>
      <w:r w:rsidRPr="00422C6C">
        <w:rPr>
          <w:rFonts w:ascii="Courier New" w:hAnsi="Courier New" w:cs="Courier New"/>
        </w:rPr>
        <w:noBreakHyphen/>
        <w:t>patient relationship and the patient has tried doses of less than ninety morphine milligram equivalents that have been ineffective at addressing the patient's pain.</w:t>
      </w:r>
    </w:p>
    <w:p w14:paraId="0B1BA4CC" w14:textId="06FF41C6" w:rsidR="002C50B9" w:rsidRPr="00422C6C" w:rsidRDefault="002C50B9" w:rsidP="002C50B9">
      <w:pPr>
        <w:pStyle w:val="P06-00"/>
        <w:rPr>
          <w:rFonts w:ascii="Courier New" w:hAnsi="Courier New" w:cs="Courier New"/>
        </w:rPr>
      </w:pPr>
      <w:r w:rsidRPr="00422C6C">
        <w:rPr>
          <w:rFonts w:ascii="Courier New" w:hAnsi="Courier New" w:cs="Courier New"/>
        </w:rPr>
        <w:t>F.  A prescription for a schedule II controlled substance that is an opioid that is written for more than ninety morphine milligram equivalents per day is deemed to meet the requirements of an exemption under this section when the prescription is presented to the dispenser.  A pharmacist is not required to verify with the prescriber whether the prescription complies with this section.</w:t>
      </w:r>
    </w:p>
    <w:p w14:paraId="3E8DE5CD" w14:textId="77777777" w:rsidR="002C50B9" w:rsidRPr="00422C6C" w:rsidRDefault="002C50B9" w:rsidP="002C50B9">
      <w:pPr>
        <w:pStyle w:val="P06-00"/>
        <w:rPr>
          <w:rFonts w:ascii="Courier New" w:hAnsi="Courier New" w:cs="Courier New"/>
        </w:rPr>
      </w:pPr>
      <w:r w:rsidRPr="00422C6C">
        <w:rPr>
          <w:rFonts w:ascii="Courier New" w:hAnsi="Courier New" w:cs="Courier New"/>
        </w:rPr>
        <w:t>G.  For the purposes of this section:</w:t>
      </w:r>
    </w:p>
    <w:p w14:paraId="64B5AC15" w14:textId="77777777" w:rsidR="002C50B9" w:rsidRPr="00422C6C" w:rsidRDefault="002C50B9" w:rsidP="002C50B9">
      <w:pPr>
        <w:pStyle w:val="P06-00"/>
        <w:rPr>
          <w:rFonts w:ascii="Courier New" w:hAnsi="Courier New" w:cs="Courier New"/>
        </w:rPr>
      </w:pPr>
      <w:r w:rsidRPr="00422C6C">
        <w:rPr>
          <w:rFonts w:ascii="Courier New" w:hAnsi="Courier New" w:cs="Courier New"/>
        </w:rPr>
        <w:t>1.  "Chronic intractable pain" means pain that meets both of the following:</w:t>
      </w:r>
    </w:p>
    <w:p w14:paraId="28978DD4" w14:textId="77777777" w:rsidR="002C50B9" w:rsidRPr="00422C6C" w:rsidRDefault="002C50B9" w:rsidP="002C50B9">
      <w:pPr>
        <w:pStyle w:val="P06-00"/>
        <w:rPr>
          <w:rFonts w:ascii="Courier New" w:hAnsi="Courier New" w:cs="Courier New"/>
        </w:rPr>
      </w:pPr>
      <w:r w:rsidRPr="00422C6C">
        <w:rPr>
          <w:rFonts w:ascii="Courier New" w:hAnsi="Courier New" w:cs="Courier New"/>
        </w:rPr>
        <w:t>(a)  Is excruciating, constant, incurable and of such severity that it dominates virtually every conscious moment.</w:t>
      </w:r>
    </w:p>
    <w:p w14:paraId="5928BC94" w14:textId="77777777" w:rsidR="002C50B9" w:rsidRPr="00422C6C" w:rsidRDefault="002C50B9" w:rsidP="002C50B9">
      <w:pPr>
        <w:pStyle w:val="P06-00"/>
        <w:rPr>
          <w:rFonts w:ascii="Courier New" w:hAnsi="Courier New" w:cs="Courier New"/>
        </w:rPr>
      </w:pPr>
      <w:r w:rsidRPr="00422C6C">
        <w:rPr>
          <w:rFonts w:ascii="Courier New" w:hAnsi="Courier New" w:cs="Courier New"/>
        </w:rPr>
        <w:t>(b)  Produces mental and physical debilitation.</w:t>
      </w:r>
    </w:p>
    <w:p w14:paraId="0AD76D4F" w14:textId="77777777" w:rsidR="002C50B9" w:rsidRPr="00422C6C" w:rsidRDefault="002C50B9" w:rsidP="002C50B9">
      <w:pPr>
        <w:pStyle w:val="P06-00"/>
        <w:rPr>
          <w:rFonts w:ascii="Courier New" w:hAnsi="Courier New" w:cs="Courier New"/>
        </w:rPr>
      </w:pPr>
      <w:r w:rsidRPr="00422C6C">
        <w:rPr>
          <w:rFonts w:ascii="Courier New" w:hAnsi="Courier New" w:cs="Courier New"/>
        </w:rPr>
        <w:t>2.  "Established health professional</w:t>
      </w:r>
      <w:r w:rsidRPr="00422C6C">
        <w:rPr>
          <w:rFonts w:ascii="Courier New" w:hAnsi="Courier New" w:cs="Courier New"/>
        </w:rPr>
        <w:noBreakHyphen/>
        <w:t>patient relationship" means that all of the following have occurred:</w:t>
      </w:r>
    </w:p>
    <w:p w14:paraId="058926A0" w14:textId="77777777" w:rsidR="002C50B9" w:rsidRPr="00422C6C" w:rsidRDefault="002C50B9" w:rsidP="002C50B9">
      <w:pPr>
        <w:pStyle w:val="P06-00"/>
        <w:rPr>
          <w:rFonts w:ascii="Courier New" w:hAnsi="Courier New" w:cs="Courier New"/>
        </w:rPr>
      </w:pPr>
      <w:r w:rsidRPr="00422C6C">
        <w:rPr>
          <w:rFonts w:ascii="Courier New" w:hAnsi="Courier New" w:cs="Courier New"/>
        </w:rPr>
        <w:t>(a)  A patient has physically presented to a health professional with a medical complaint.</w:t>
      </w:r>
    </w:p>
    <w:p w14:paraId="799B8111" w14:textId="77777777" w:rsidR="002C50B9" w:rsidRPr="00422C6C" w:rsidRDefault="002C50B9" w:rsidP="002C50B9">
      <w:pPr>
        <w:pStyle w:val="P06-00"/>
        <w:rPr>
          <w:rFonts w:ascii="Courier New" w:hAnsi="Courier New" w:cs="Courier New"/>
        </w:rPr>
      </w:pPr>
      <w:r w:rsidRPr="00422C6C">
        <w:rPr>
          <w:rFonts w:ascii="Courier New" w:hAnsi="Courier New" w:cs="Courier New"/>
        </w:rPr>
        <w:t>(b)  The health professional has taken a medical history of the patient.</w:t>
      </w:r>
    </w:p>
    <w:p w14:paraId="5DB36B2D" w14:textId="77777777" w:rsidR="002C50B9" w:rsidRPr="00422C6C" w:rsidRDefault="002C50B9" w:rsidP="002C50B9">
      <w:pPr>
        <w:pStyle w:val="P06-00"/>
        <w:rPr>
          <w:rFonts w:ascii="Courier New" w:hAnsi="Courier New" w:cs="Courier New"/>
        </w:rPr>
      </w:pPr>
      <w:r w:rsidRPr="00422C6C">
        <w:rPr>
          <w:rFonts w:ascii="Courier New" w:hAnsi="Courier New" w:cs="Courier New"/>
        </w:rPr>
        <w:t>(c)  The health professional has performed a physical examination of the patient.</w:t>
      </w:r>
    </w:p>
    <w:p w14:paraId="377AB448" w14:textId="3DD6DE62" w:rsidR="00F540AD" w:rsidRPr="00422C6C" w:rsidRDefault="002C50B9" w:rsidP="002C50B9">
      <w:pPr>
        <w:pStyle w:val="P06-00"/>
        <w:rPr>
          <w:rFonts w:ascii="Courier New" w:hAnsi="Courier New" w:cs="Courier New"/>
        </w:rPr>
      </w:pPr>
      <w:r w:rsidRPr="00422C6C">
        <w:rPr>
          <w:rFonts w:ascii="Courier New" w:hAnsi="Courier New" w:cs="Courier New"/>
        </w:rPr>
        <w:t xml:space="preserve">(d)  Some logical connection exists between the medical complaint, the medical history, the physical examination and the drug prescribed. </w:t>
      </w:r>
      <w:r w:rsidRPr="00422C6C">
        <w:rPr>
          <w:rFonts w:ascii="Courier New" w:hAnsi="Courier New" w:cs="Courier New"/>
        </w:rPr>
        <w:fldChar w:fldCharType="begin"/>
      </w:r>
      <w:r w:rsidRPr="00422C6C">
        <w:rPr>
          <w:rFonts w:ascii="Courier New" w:hAnsi="Courier New" w:cs="Courier New"/>
        </w:rPr>
        <w:instrText xml:space="preserve"> COMMENTS END_STATUTE \* MERGEFORMAT </w:instrText>
      </w:r>
      <w:r w:rsidRPr="00422C6C">
        <w:rPr>
          <w:rFonts w:ascii="Courier New" w:hAnsi="Courier New" w:cs="Courier New"/>
        </w:rPr>
        <w:fldChar w:fldCharType="separate"/>
      </w:r>
      <w:r w:rsidRPr="00422C6C">
        <w:rPr>
          <w:rFonts w:ascii="Courier New" w:hAnsi="Courier New" w:cs="Courier New"/>
          <w:vanish/>
        </w:rPr>
        <w:t>END_STATUTE</w:t>
      </w:r>
      <w:r w:rsidRPr="00422C6C">
        <w:rPr>
          <w:rFonts w:ascii="Courier New" w:hAnsi="Courier New" w:cs="Courier New"/>
        </w:rPr>
        <w:fldChar w:fldCharType="end"/>
      </w:r>
    </w:p>
    <w:sectPr w:rsidR="00F540AD" w:rsidRPr="00422C6C" w:rsidSect="002C50B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A9D6" w14:textId="77777777" w:rsidR="002C50B9" w:rsidRDefault="002C50B9">
      <w:r>
        <w:separator/>
      </w:r>
    </w:p>
  </w:endnote>
  <w:endnote w:type="continuationSeparator" w:id="0">
    <w:p w14:paraId="1877C9FA" w14:textId="77777777" w:rsidR="002C50B9" w:rsidRDefault="002C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B79D" w14:textId="77777777" w:rsidR="002C50B9" w:rsidRDefault="002C50B9">
      <w:r>
        <w:separator/>
      </w:r>
    </w:p>
  </w:footnote>
  <w:footnote w:type="continuationSeparator" w:id="0">
    <w:p w14:paraId="01DA4606" w14:textId="77777777" w:rsidR="002C50B9" w:rsidRDefault="002C5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65045418">
    <w:abstractNumId w:val="8"/>
  </w:num>
  <w:num w:numId="2" w16cid:durableId="113907609">
    <w:abstractNumId w:val="8"/>
  </w:num>
  <w:num w:numId="3" w16cid:durableId="787701708">
    <w:abstractNumId w:val="7"/>
  </w:num>
  <w:num w:numId="4" w16cid:durableId="2031560977">
    <w:abstractNumId w:val="7"/>
  </w:num>
  <w:num w:numId="5" w16cid:durableId="1542134529">
    <w:abstractNumId w:val="10"/>
  </w:num>
  <w:num w:numId="6" w16cid:durableId="1410346893">
    <w:abstractNumId w:val="11"/>
  </w:num>
  <w:num w:numId="7" w16cid:durableId="1493106824">
    <w:abstractNumId w:val="12"/>
  </w:num>
  <w:num w:numId="8" w16cid:durableId="1176726559">
    <w:abstractNumId w:val="9"/>
  </w:num>
  <w:num w:numId="9" w16cid:durableId="23285864">
    <w:abstractNumId w:val="6"/>
  </w:num>
  <w:num w:numId="10" w16cid:durableId="116608070">
    <w:abstractNumId w:val="5"/>
  </w:num>
  <w:num w:numId="11" w16cid:durableId="1070738546">
    <w:abstractNumId w:val="4"/>
  </w:num>
  <w:num w:numId="12" w16cid:durableId="1087727231">
    <w:abstractNumId w:val="3"/>
  </w:num>
  <w:num w:numId="13" w16cid:durableId="6714599">
    <w:abstractNumId w:val="2"/>
  </w:num>
  <w:num w:numId="14" w16cid:durableId="508837793">
    <w:abstractNumId w:val="1"/>
  </w:num>
  <w:num w:numId="15" w16cid:durableId="119812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B9"/>
    <w:rsid w:val="00010503"/>
    <w:rsid w:val="00033AE7"/>
    <w:rsid w:val="00042A82"/>
    <w:rsid w:val="002C50B9"/>
    <w:rsid w:val="00422C6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FDEB4"/>
  <w15:chartTrackingRefBased/>
  <w15:docId w15:val="{743BC0FA-37BC-4DD6-A1FB-E30762FA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C50B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740</Words>
  <Characters>4075</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32-3248.01; Schedule II controlled substances; dosage limit; exceptions; morphine; opioid antagonist; definitions</dc:title>
  <dc:subject>Schedule II controlled substances; dosage limit; exceptions; morphine; opioid antagonist; definitions</dc:subject>
  <dc:creator>Arizona Legislative Council</dc:creator>
  <cp:keywords/>
  <dc:description>0134.docx - 552R - 2022</dc:description>
  <cp:lastModifiedBy>dbupdate</cp:lastModifiedBy>
  <cp:revision>2</cp:revision>
  <dcterms:created xsi:type="dcterms:W3CDTF">2025-09-20T21:37:00Z</dcterms:created>
  <dcterms:modified xsi:type="dcterms:W3CDTF">2025-09-20T21:37:00Z</dcterms:modified>
</cp:coreProperties>
</file>