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68665" w14:textId="77777777" w:rsidR="00330A55" w:rsidRPr="00F94799" w:rsidRDefault="00330A55">
      <w:pPr>
        <w:ind w:firstLine="720"/>
        <w:rPr>
          <w:rFonts w:ascii="Courier New" w:hAnsi="Courier New"/>
        </w:rPr>
      </w:pPr>
      <w:r w:rsidRPr="00F94799">
        <w:rPr>
          <w:rFonts w:ascii="Courier New" w:hAnsi="Courier New"/>
          <w:vanish/>
        </w:rPr>
        <w:fldChar w:fldCharType="begin"/>
      </w:r>
      <w:r w:rsidRPr="00F94799">
        <w:rPr>
          <w:rFonts w:ascii="Courier New" w:hAnsi="Courier New"/>
          <w:vanish/>
        </w:rPr>
        <w:instrText xml:space="preserve"> COMMENTS START_STATUTE \* MERGEFORMAT </w:instrText>
      </w:r>
      <w:r w:rsidRPr="00F94799">
        <w:rPr>
          <w:rFonts w:ascii="Courier New" w:hAnsi="Courier New"/>
          <w:vanish/>
        </w:rPr>
        <w:fldChar w:fldCharType="separate"/>
      </w:r>
      <w:r w:rsidRPr="00F94799">
        <w:rPr>
          <w:rFonts w:ascii="Courier New" w:hAnsi="Courier New"/>
          <w:vanish/>
        </w:rPr>
        <w:t>START_STATUTE</w:t>
      </w:r>
      <w:r w:rsidRPr="00F94799">
        <w:rPr>
          <w:rFonts w:ascii="Courier New" w:hAnsi="Courier New"/>
          <w:vanish/>
        </w:rPr>
        <w:fldChar w:fldCharType="end"/>
      </w:r>
      <w:r w:rsidRPr="00F94799">
        <w:rPr>
          <w:rStyle w:val="SNUM"/>
          <w:rFonts w:ascii="Courier New" w:hAnsi="Courier New"/>
        </w:rPr>
        <w:t>32-2197.12</w:t>
      </w:r>
      <w:r w:rsidRPr="00F94799">
        <w:rPr>
          <w:rFonts w:ascii="Courier New" w:hAnsi="Courier New"/>
        </w:rPr>
        <w:t>.  </w:t>
      </w:r>
      <w:r w:rsidRPr="00F94799">
        <w:rPr>
          <w:rStyle w:val="SECHEAD"/>
          <w:rFonts w:ascii="Courier New" w:hAnsi="Courier New"/>
        </w:rPr>
        <w:t>Blanket encumbrance; lien; alternative assurance</w:t>
      </w:r>
    </w:p>
    <w:p w14:paraId="028EC4C2" w14:textId="77777777" w:rsidR="00330A55" w:rsidRPr="00F94799" w:rsidRDefault="00330A55">
      <w:pPr>
        <w:ind w:firstLine="720"/>
        <w:rPr>
          <w:rFonts w:ascii="Courier New" w:hAnsi="Courier New"/>
        </w:rPr>
      </w:pPr>
      <w:r w:rsidRPr="00F94799">
        <w:rPr>
          <w:rFonts w:ascii="Courier New" w:hAnsi="Courier New"/>
        </w:rPr>
        <w:t>Excluding any encumbrance placed against the purchaser’s timeshare interest securing the purchaser’s payment of purchase money financing for the purchase, the developer is not entitled to the release of any monies placed in escrow under section 32</w:t>
      </w:r>
      <w:r w:rsidRPr="00F94799">
        <w:rPr>
          <w:rFonts w:ascii="Courier New" w:hAnsi="Courier New"/>
        </w:rPr>
        <w:noBreakHyphen/>
        <w:t>2197.05 with respect to each timeshare interest and any other property or rights to property appurtenant to the timeshare interest, including any a</w:t>
      </w:r>
      <w:r w:rsidRPr="00F94799">
        <w:rPr>
          <w:rFonts w:ascii="Courier New" w:hAnsi="Courier New"/>
        </w:rPr>
        <w:t>menities represented to the purchaser as being part of the timeshare plan, until the developer has provided satisfactory evidence to the commissioner of one of the following:</w:t>
      </w:r>
    </w:p>
    <w:p w14:paraId="3A1F07E4" w14:textId="77777777" w:rsidR="00330A55" w:rsidRPr="00F94799" w:rsidRDefault="00330A55">
      <w:pPr>
        <w:pStyle w:val="P06-00"/>
        <w:rPr>
          <w:rFonts w:ascii="Courier New" w:hAnsi="Courier New"/>
        </w:rPr>
      </w:pPr>
      <w:r w:rsidRPr="00F94799">
        <w:rPr>
          <w:rFonts w:ascii="Courier New" w:hAnsi="Courier New"/>
        </w:rPr>
        <w:t>1.  The timeshare interest together with any other property or rights to property appurtenant to the timeshare interest, including any amenities represented to the purchaser as being part of the timeshare plan, are free and clear of any of the claims of the developer, any owner of the underlying fee, a mortgagee, judgment creditor or o</w:t>
      </w:r>
      <w:r w:rsidRPr="00F94799">
        <w:rPr>
          <w:rFonts w:ascii="Courier New" w:hAnsi="Courier New"/>
        </w:rPr>
        <w:t xml:space="preserve">ther </w:t>
      </w:r>
      <w:proofErr w:type="spellStart"/>
      <w:r w:rsidRPr="00F94799">
        <w:rPr>
          <w:rFonts w:ascii="Courier New" w:hAnsi="Courier New"/>
        </w:rPr>
        <w:t>lienor</w:t>
      </w:r>
      <w:proofErr w:type="spellEnd"/>
      <w:r w:rsidRPr="00F94799">
        <w:rPr>
          <w:rFonts w:ascii="Courier New" w:hAnsi="Courier New"/>
        </w:rPr>
        <w:t xml:space="preserve"> or any other person having a blanket encumbrance against the timeshare interest or appurtenant property or property rights.</w:t>
      </w:r>
    </w:p>
    <w:p w14:paraId="537E7F42" w14:textId="77777777" w:rsidR="00330A55" w:rsidRPr="00F94799" w:rsidRDefault="00330A55">
      <w:pPr>
        <w:ind w:firstLine="720"/>
        <w:rPr>
          <w:rFonts w:ascii="Courier New" w:hAnsi="Courier New"/>
        </w:rPr>
      </w:pPr>
      <w:r w:rsidRPr="00F94799">
        <w:rPr>
          <w:rFonts w:ascii="Courier New" w:hAnsi="Courier New"/>
        </w:rPr>
        <w:t xml:space="preserve">2.  The developer, any owner of the underlying fee, a mortgagee, judgment creditor or other </w:t>
      </w:r>
      <w:proofErr w:type="spellStart"/>
      <w:r w:rsidRPr="00F94799">
        <w:rPr>
          <w:rFonts w:ascii="Courier New" w:hAnsi="Courier New"/>
        </w:rPr>
        <w:t>lienor</w:t>
      </w:r>
      <w:proofErr w:type="spellEnd"/>
      <w:r w:rsidRPr="00F94799">
        <w:rPr>
          <w:rFonts w:ascii="Courier New" w:hAnsi="Courier New"/>
        </w:rPr>
        <w:t xml:space="preserve"> or any other person having a blanket encumbrance against the timeshare interest or appurtenant property or property rights, including any amenities represented to the purchaser as being part of the timeshare plan, has recorded a subordination and notice to creditors document i</w:t>
      </w:r>
      <w:r w:rsidRPr="00F94799">
        <w:rPr>
          <w:rFonts w:ascii="Courier New" w:hAnsi="Courier New"/>
        </w:rPr>
        <w:t>n the appropriate public records of the jurisdiction in which the timeshare interest is located. The subordination document shall expressly and effectively provide that the interest holder’s right or blanket encumbrance does not adversely affect and is subordinate to the rights of the owners of the timeshare interests in the timeshare plan regardless of the date of purchase, from and after the effective date of the subordination document.</w:t>
      </w:r>
    </w:p>
    <w:p w14:paraId="36E4F81F" w14:textId="77777777" w:rsidR="00330A55" w:rsidRPr="00F94799" w:rsidRDefault="00330A55">
      <w:pPr>
        <w:pStyle w:val="BodyTextIndent"/>
        <w:tabs>
          <w:tab w:val="clear" w:pos="0"/>
          <w:tab w:val="clear" w:pos="720"/>
        </w:tabs>
        <w:rPr>
          <w:rFonts w:ascii="Courier New" w:hAnsi="Courier New"/>
          <w:snapToGrid/>
        </w:rPr>
      </w:pPr>
      <w:r w:rsidRPr="00F94799">
        <w:rPr>
          <w:rFonts w:ascii="Courier New" w:hAnsi="Courier New"/>
          <w:snapToGrid/>
        </w:rPr>
        <w:t>3.  The developer, any owner of the underlying fee, a mortgagee, judg</w:t>
      </w:r>
      <w:r w:rsidRPr="00F94799">
        <w:rPr>
          <w:rFonts w:ascii="Courier New" w:hAnsi="Courier New"/>
          <w:snapToGrid/>
        </w:rPr>
        <w:t xml:space="preserve">ment creditor or other </w:t>
      </w:r>
      <w:proofErr w:type="spellStart"/>
      <w:r w:rsidRPr="00F94799">
        <w:rPr>
          <w:rFonts w:ascii="Courier New" w:hAnsi="Courier New"/>
          <w:snapToGrid/>
        </w:rPr>
        <w:t>lienor</w:t>
      </w:r>
      <w:proofErr w:type="spellEnd"/>
      <w:r w:rsidRPr="00F94799">
        <w:rPr>
          <w:rFonts w:ascii="Courier New" w:hAnsi="Courier New"/>
          <w:snapToGrid/>
        </w:rPr>
        <w:t xml:space="preserve"> or any other person having a blanket encumbrance against the timeshare interest or appurtenant property or property rights, including any amenities represented to the purchaser as being part of the timeshare plan, has transferred the subject accommodations or amenities or all use rights to the accommodations or amenities to a nonprofit organization or owners’ association to be held for the use and benefit of the owners of the timeshare plan.  The organization or association sha</w:t>
      </w:r>
      <w:r w:rsidRPr="00F94799">
        <w:rPr>
          <w:rFonts w:ascii="Courier New" w:hAnsi="Courier New"/>
          <w:snapToGrid/>
        </w:rPr>
        <w:t>ll act as a fiduciary to the purchasers, if the developer has transferred control of the organization or association to the owners or does not exercise voting rights in the organization or association with respect to the subject accommodations or amenities.  Before the transfer, any blanket encumbrance against the accommodation or facility shall be made subject to a subordination and notice to creditors instrument pursuant to paragraph 2.</w:t>
      </w:r>
    </w:p>
    <w:p w14:paraId="090F7B62" w14:textId="77777777" w:rsidR="00330A55" w:rsidRPr="00F94799" w:rsidRDefault="00330A55">
      <w:pPr>
        <w:pStyle w:val="BodyTextIndent"/>
        <w:rPr>
          <w:rFonts w:ascii="Courier New" w:hAnsi="Courier New"/>
        </w:rPr>
      </w:pPr>
      <w:r w:rsidRPr="00F94799">
        <w:rPr>
          <w:rFonts w:ascii="Courier New" w:hAnsi="Courier New"/>
        </w:rPr>
        <w:t>4.  Alternative arrangements have been made that are adequate to prot</w:t>
      </w:r>
      <w:r w:rsidRPr="00F94799">
        <w:rPr>
          <w:rFonts w:ascii="Courier New" w:hAnsi="Courier New"/>
        </w:rPr>
        <w:t xml:space="preserve">ect the rights of the purchasers of the timeshare interests and approved by the </w:t>
      </w:r>
      <w:proofErr w:type="spellStart"/>
      <w:r w:rsidRPr="00F94799">
        <w:rPr>
          <w:rFonts w:ascii="Courier New" w:hAnsi="Courier New"/>
        </w:rPr>
        <w:t>commissioner.</w:t>
      </w:r>
      <w:r w:rsidRPr="00F94799">
        <w:rPr>
          <w:rFonts w:ascii="Courier New" w:hAnsi="Courier New"/>
          <w:vanish/>
        </w:rPr>
        <w:fldChar w:fldCharType="begin"/>
      </w:r>
      <w:r w:rsidRPr="00F94799">
        <w:rPr>
          <w:rFonts w:ascii="Courier New" w:hAnsi="Courier New"/>
          <w:vanish/>
        </w:rPr>
        <w:instrText xml:space="preserve"> COMMENTS END_STATUTE \* MERGEFORMAT </w:instrText>
      </w:r>
      <w:r w:rsidRPr="00F94799">
        <w:rPr>
          <w:rFonts w:ascii="Courier New" w:hAnsi="Courier New"/>
          <w:vanish/>
        </w:rPr>
        <w:fldChar w:fldCharType="separate"/>
      </w:r>
      <w:r w:rsidRPr="00F94799">
        <w:rPr>
          <w:rFonts w:ascii="Courier New" w:hAnsi="Courier New"/>
          <w:vanish/>
        </w:rPr>
        <w:t>END_STATUTE</w:t>
      </w:r>
      <w:proofErr w:type="spellEnd"/>
      <w:r w:rsidRPr="00F94799">
        <w:rPr>
          <w:rFonts w:ascii="Courier New" w:hAnsi="Courier New"/>
          <w:vanish/>
        </w:rPr>
        <w:fldChar w:fldCharType="end"/>
      </w:r>
    </w:p>
    <w:sectPr w:rsidR="00330A55" w:rsidRPr="00F9479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2D658" w14:textId="77777777" w:rsidR="00330A55" w:rsidRDefault="00330A55">
      <w:r>
        <w:separator/>
      </w:r>
    </w:p>
  </w:endnote>
  <w:endnote w:type="continuationSeparator" w:id="0">
    <w:p w14:paraId="630972AE" w14:textId="77777777" w:rsidR="00330A55" w:rsidRDefault="00330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E06CF" w14:textId="77777777" w:rsidR="00330A55" w:rsidRDefault="00330A55">
      <w:r>
        <w:separator/>
      </w:r>
    </w:p>
  </w:footnote>
  <w:footnote w:type="continuationSeparator" w:id="0">
    <w:p w14:paraId="39D42A44" w14:textId="77777777" w:rsidR="00330A55" w:rsidRDefault="00330A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043047752">
    <w:abstractNumId w:val="1"/>
  </w:num>
  <w:num w:numId="2" w16cid:durableId="1852137715">
    <w:abstractNumId w:val="1"/>
  </w:num>
  <w:num w:numId="3" w16cid:durableId="564293734">
    <w:abstractNumId w:val="0"/>
  </w:num>
  <w:num w:numId="4" w16cid:durableId="922879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77E"/>
    <w:rsid w:val="00330A55"/>
    <w:rsid w:val="007D077E"/>
    <w:rsid w:val="00F94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17A107"/>
  <w15:chartTrackingRefBased/>
  <w15:docId w15:val="{7A159C6F-C7B4-42FE-834B-1DD0343E7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491</Words>
  <Characters>2726</Characters>
  <Application>Microsoft Office Word</Application>
  <DocSecurity>0</DocSecurity>
  <Lines>44</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32-2197.12; Blanket encumbrance; lien; alternative assurance</dc:title>
  <dc:subject>Blanket encumbrance; lien; alternative assurance</dc:subject>
  <dc:creator>Arizona Legislative Council</dc:creator>
  <cp:keywords/>
  <dc:description/>
  <cp:lastModifiedBy>dbupdate</cp:lastModifiedBy>
  <cp:revision>2</cp:revision>
  <cp:lastPrinted>1601-01-01T00:00:00Z</cp:lastPrinted>
  <dcterms:created xsi:type="dcterms:W3CDTF">2026-09-09T19:03:00Z</dcterms:created>
  <dcterms:modified xsi:type="dcterms:W3CDTF">2026-09-09T19:03:00Z</dcterms:modified>
</cp:coreProperties>
</file>