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FA2E" w14:textId="77777777" w:rsidR="008217B4" w:rsidRPr="00B1643A" w:rsidRDefault="008217B4" w:rsidP="008217B4">
      <w:pPr>
        <w:pStyle w:val="SEC06-18"/>
        <w:rPr>
          <w:rFonts w:ascii="Courier New" w:hAnsi="Courier New"/>
        </w:rPr>
      </w:pPr>
      <w:r w:rsidRPr="00B1643A">
        <w:rPr>
          <w:rFonts w:ascii="Courier New" w:hAnsi="Courier New"/>
          <w:vanish/>
        </w:rPr>
        <w:fldChar w:fldCharType="begin"/>
      </w:r>
      <w:r w:rsidRPr="00B1643A">
        <w:rPr>
          <w:rFonts w:ascii="Courier New" w:hAnsi="Courier New"/>
          <w:vanish/>
        </w:rPr>
        <w:instrText xml:space="preserve"> COMMENTS START_STATUTE \* MERGEFORMAT </w:instrText>
      </w:r>
      <w:r w:rsidRPr="00B1643A">
        <w:rPr>
          <w:rFonts w:ascii="Courier New" w:hAnsi="Courier New"/>
          <w:vanish/>
        </w:rPr>
        <w:fldChar w:fldCharType="separate"/>
      </w:r>
      <w:r w:rsidRPr="00B1643A">
        <w:rPr>
          <w:rFonts w:ascii="Courier New" w:hAnsi="Courier New"/>
          <w:vanish/>
        </w:rPr>
        <w:t>START_STATUTE</w:t>
      </w:r>
      <w:r w:rsidRPr="00B1643A">
        <w:rPr>
          <w:rFonts w:ascii="Courier New" w:hAnsi="Courier New"/>
          <w:vanish/>
        </w:rPr>
        <w:fldChar w:fldCharType="end"/>
      </w:r>
      <w:r w:rsidRPr="00B1643A">
        <w:rPr>
          <w:rStyle w:val="SNUM"/>
          <w:rFonts w:ascii="Courier New" w:hAnsi="Courier New"/>
        </w:rPr>
        <w:t>25-1334.</w:t>
      </w:r>
      <w:r w:rsidRPr="00B1643A">
        <w:rPr>
          <w:rFonts w:ascii="Courier New" w:hAnsi="Courier New"/>
        </w:rPr>
        <w:t>  </w:t>
      </w:r>
      <w:r w:rsidRPr="00B1643A">
        <w:rPr>
          <w:rStyle w:val="SECHEAD"/>
          <w:rFonts w:ascii="Courier New" w:hAnsi="Courier New"/>
        </w:rPr>
        <w:t>Initiation by department of economic security of support proceeding under convention</w:t>
      </w:r>
    </w:p>
    <w:p w14:paraId="2D697AD2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A.  In a support proceeding under this article, the department of economic security shall do both of the following:</w:t>
      </w:r>
    </w:p>
    <w:p w14:paraId="4299A866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1.  Transmit and receive applications.</w:t>
      </w:r>
    </w:p>
    <w:p w14:paraId="1BDE304B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2.  Initiate or facilitate the institution of a proceeding regarding an application in a tribunal of this state.</w:t>
      </w:r>
    </w:p>
    <w:p w14:paraId="35EF5B8D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B.  The following support proceedings are available to an obligee under the convention:</w:t>
      </w:r>
    </w:p>
    <w:p w14:paraId="3A9813CE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1.  Recognition or recognition and enforcement of a foreign support order.</w:t>
      </w:r>
    </w:p>
    <w:p w14:paraId="773C88AB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2.  Enforcement of a support order issued or recognized in this state.</w:t>
      </w:r>
    </w:p>
    <w:p w14:paraId="68540938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3.  Establishment of a support order if there is no existing order, including, if necessary, a determination of parentage of a child.</w:t>
      </w:r>
    </w:p>
    <w:p w14:paraId="7AF2A858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4.  Establishment of a support order if recognition of a foreign support order is refused under section 25</w:t>
      </w:r>
      <w:r w:rsidRPr="00B1643A">
        <w:rPr>
          <w:rFonts w:ascii="Courier New" w:hAnsi="Courier New"/>
        </w:rPr>
        <w:noBreakHyphen/>
        <w:t>1338, subsection B, paragraph 2, 4 or 9.</w:t>
      </w:r>
    </w:p>
    <w:p w14:paraId="4A31339A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5.  Modification of a support order of a tribunal of this state.</w:t>
      </w:r>
    </w:p>
    <w:p w14:paraId="5C9569B2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6.  Modification of a support order of a tribunal of another state or a foreign country.</w:t>
      </w:r>
    </w:p>
    <w:p w14:paraId="6B04A7D4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C.  The following support proceedings are available under the convention to an obligor against which there is an existing support order:</w:t>
      </w:r>
    </w:p>
    <w:p w14:paraId="2CA76BE0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1.  Recognition of an order suspending or limiting enforcement of an existing support order of a tribunal of this state.</w:t>
      </w:r>
    </w:p>
    <w:p w14:paraId="2DE22D98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2.  Modification of a support order of a tribunal of this state.</w:t>
      </w:r>
    </w:p>
    <w:p w14:paraId="58FBE30E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>3.  Modification of a support order of a tribunal of another state or a foreign country.</w:t>
      </w:r>
    </w:p>
    <w:p w14:paraId="52426AD3" w14:textId="77777777" w:rsidR="008217B4" w:rsidRPr="00B1643A" w:rsidRDefault="008217B4" w:rsidP="008217B4">
      <w:pPr>
        <w:pStyle w:val="P06-00"/>
        <w:rPr>
          <w:rFonts w:ascii="Courier New" w:hAnsi="Courier New"/>
        </w:rPr>
      </w:pPr>
      <w:r w:rsidRPr="00B1643A">
        <w:rPr>
          <w:rFonts w:ascii="Courier New" w:hAnsi="Courier New"/>
        </w:rPr>
        <w:t xml:space="preserve">D.  A tribunal of this state may not require security, bond or deposit, however described, to guarantee the payment of costs and expenses in proceedings under the convention. </w:t>
      </w:r>
      <w:r w:rsidRPr="00B1643A">
        <w:rPr>
          <w:rFonts w:ascii="Courier New" w:hAnsi="Courier New"/>
          <w:vanish/>
        </w:rPr>
        <w:fldChar w:fldCharType="begin"/>
      </w:r>
      <w:r w:rsidRPr="00B1643A">
        <w:rPr>
          <w:rFonts w:ascii="Courier New" w:hAnsi="Courier New"/>
          <w:vanish/>
        </w:rPr>
        <w:instrText xml:space="preserve"> COMMENTS END_STATUTE \* MERGEFORMAT </w:instrText>
      </w:r>
      <w:r w:rsidRPr="00B1643A">
        <w:rPr>
          <w:rFonts w:ascii="Courier New" w:hAnsi="Courier New"/>
          <w:vanish/>
        </w:rPr>
        <w:fldChar w:fldCharType="separate"/>
      </w:r>
      <w:r w:rsidRPr="00B1643A">
        <w:rPr>
          <w:rFonts w:ascii="Courier New" w:hAnsi="Courier New"/>
          <w:vanish/>
        </w:rPr>
        <w:t>END_STATUTE</w:t>
      </w:r>
      <w:r w:rsidRPr="00B1643A">
        <w:rPr>
          <w:rFonts w:ascii="Courier New" w:hAnsi="Courier New"/>
          <w:vanish/>
        </w:rPr>
        <w:fldChar w:fldCharType="end"/>
      </w:r>
    </w:p>
    <w:p w14:paraId="5908F937" w14:textId="77777777" w:rsidR="008217B4" w:rsidRPr="00B1643A" w:rsidRDefault="008217B4" w:rsidP="008217B4">
      <w:pPr>
        <w:rPr>
          <w:rFonts w:ascii="Courier New" w:hAnsi="Courier New"/>
        </w:rPr>
      </w:pPr>
    </w:p>
    <w:sectPr w:rsidR="008217B4" w:rsidRPr="00B1643A" w:rsidSect="008217B4"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F23E" w14:textId="77777777" w:rsidR="0085125F" w:rsidRDefault="0085125F">
      <w:r>
        <w:separator/>
      </w:r>
    </w:p>
  </w:endnote>
  <w:endnote w:type="continuationSeparator" w:id="0">
    <w:p w14:paraId="5DEF200C" w14:textId="77777777" w:rsidR="0085125F" w:rsidRDefault="008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A7A5" w14:textId="77777777" w:rsidR="0085125F" w:rsidRDefault="0085125F">
      <w:r>
        <w:separator/>
      </w:r>
    </w:p>
  </w:footnote>
  <w:footnote w:type="continuationSeparator" w:id="0">
    <w:p w14:paraId="3CD53C9D" w14:textId="77777777" w:rsidR="0085125F" w:rsidRDefault="0085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B4"/>
    <w:rsid w:val="008217B4"/>
    <w:rsid w:val="0085125F"/>
    <w:rsid w:val="00B1643A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9BDB2B"/>
  <w15:chartTrackingRefBased/>
  <w15:docId w15:val="{0FF5009C-52FE-4A8D-B2E7-3DEAB59A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customStyle="1" w:styleId="AGENCY">
    <w:name w:val="AGENCY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rPr>
      <w:rFonts w:ascii="Arial" w:hAnsi="Arial"/>
      <w:sz w:val="48"/>
    </w:rPr>
  </w:style>
  <w:style w:type="paragraph" w:styleId="BodyText">
    <w:name w:val="Body Text"/>
    <w:basedOn w:val="Normal"/>
    <w:pPr>
      <w:widowControl/>
      <w:suppressLineNumbers/>
    </w:p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character" w:customStyle="1" w:styleId="INTRO">
    <w:name w:val="INTRO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</w:style>
  <w:style w:type="character" w:customStyle="1" w:styleId="O">
    <w:name w:val="O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rPr>
      <w:color w:val="800080"/>
      <w:u w:val="single"/>
    </w:rPr>
  </w:style>
  <w:style w:type="character" w:customStyle="1" w:styleId="SNUM">
    <w:name w:val="SNUM"/>
    <w:rPr>
      <w:color w:val="008000"/>
    </w:rPr>
  </w:style>
  <w:style w:type="character" w:customStyle="1" w:styleId="SPONSORS">
    <w:name w:val="SPONSORS"/>
  </w:style>
  <w:style w:type="character" w:customStyle="1" w:styleId="TITLE">
    <w:name w:val="TITLE"/>
    <w:rPr>
      <w:caps/>
      <w:color w:val="0000FF"/>
    </w:rPr>
  </w:style>
  <w:style w:type="character" w:customStyle="1" w:styleId="UP">
    <w:name w:val="UP"/>
    <w:rPr>
      <w:caps/>
      <w:noProof w:val="0"/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282</Words>
  <Characters>1446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25-1334; Initiation by department of economic security of support proceeding under convention</dc:title>
  <dc:subject>Initiation by department of economic security of support proceeding under convention</dc:subject>
  <dc:creator>Arizona Legislative Council</dc:creator>
  <cp:keywords/>
  <dc:description>0253.doc - 521R - 2015</dc:description>
  <cp:lastModifiedBy>dbupdate</cp:lastModifiedBy>
  <cp:revision>2</cp:revision>
  <dcterms:created xsi:type="dcterms:W3CDTF">2023-09-14T14:10:00Z</dcterms:created>
  <dcterms:modified xsi:type="dcterms:W3CDTF">2023-09-14T14:10:00Z</dcterms:modified>
</cp:coreProperties>
</file>