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958ACD" w14:textId="15F21B21" w:rsidR="00CA4D09" w:rsidRPr="00BA1247" w:rsidRDefault="00CA4D09" w:rsidP="00CA4D09">
      <w:pPr>
        <w:pStyle w:val="SEC06-18"/>
        <w:keepNext/>
        <w:keepLines/>
        <w:rPr>
          <w:rFonts w:ascii="Courier New" w:hAnsi="Courier New" w:cs="Courier New"/>
        </w:rPr>
      </w:pPr>
      <w:r w:rsidRPr="00BA1247">
        <w:rPr>
          <w:rFonts w:ascii="Courier New" w:hAnsi="Courier New" w:cs="Courier New"/>
        </w:rPr>
        <w:fldChar w:fldCharType="begin"/>
      </w:r>
      <w:r w:rsidRPr="00BA1247">
        <w:rPr>
          <w:rFonts w:ascii="Courier New" w:hAnsi="Courier New" w:cs="Courier New"/>
        </w:rPr>
        <w:instrText xml:space="preserve"> COMMENTS START_STATUTE \* MERGEFORMAT </w:instrText>
      </w:r>
      <w:r w:rsidRPr="00BA1247">
        <w:rPr>
          <w:rFonts w:ascii="Courier New" w:hAnsi="Courier New" w:cs="Courier New"/>
        </w:rPr>
        <w:fldChar w:fldCharType="separate"/>
      </w:r>
      <w:r w:rsidRPr="00BA1247">
        <w:rPr>
          <w:rFonts w:ascii="Courier New" w:hAnsi="Courier New" w:cs="Courier New"/>
          <w:vanish/>
        </w:rPr>
        <w:t>START_STATUTE</w:t>
      </w:r>
      <w:r w:rsidRPr="00BA1247">
        <w:rPr>
          <w:rFonts w:ascii="Courier New" w:hAnsi="Courier New" w:cs="Courier New"/>
        </w:rPr>
        <w:fldChar w:fldCharType="end"/>
      </w:r>
      <w:r w:rsidRPr="00BA1247">
        <w:rPr>
          <w:rStyle w:val="SNUM"/>
          <w:rFonts w:ascii="Courier New" w:hAnsi="Courier New" w:cs="Courier New"/>
        </w:rPr>
        <w:t>20-2535.</w:t>
      </w:r>
      <w:r w:rsidRPr="00BA1247">
        <w:rPr>
          <w:rFonts w:ascii="Courier New" w:hAnsi="Courier New" w:cs="Courier New"/>
        </w:rPr>
        <w:t>  </w:t>
      </w:r>
      <w:r w:rsidRPr="00BA1247">
        <w:rPr>
          <w:rStyle w:val="SECHEAD"/>
          <w:rFonts w:ascii="Courier New" w:hAnsi="Courier New" w:cs="Courier New"/>
        </w:rPr>
        <w:t>Initial appeal</w:t>
      </w:r>
    </w:p>
    <w:p w14:paraId="7DFABA74" w14:textId="305BE9F7" w:rsidR="00CA4D09" w:rsidRPr="00BA1247" w:rsidRDefault="00CA4D09" w:rsidP="00CA4D09">
      <w:pPr>
        <w:pStyle w:val="P06-00"/>
        <w:keepNext/>
        <w:keepLines/>
        <w:rPr>
          <w:rFonts w:ascii="Courier New" w:hAnsi="Courier New" w:cs="Courier New"/>
        </w:rPr>
      </w:pPr>
      <w:r w:rsidRPr="00BA1247">
        <w:rPr>
          <w:rFonts w:ascii="Courier New" w:hAnsi="Courier New" w:cs="Courier New"/>
        </w:rPr>
        <w:t>A.  Any member who receives an adverse determination and who does not qualify for an expedited medical review pursuant to section 20</w:t>
      </w:r>
      <w:r w:rsidRPr="00BA1247">
        <w:rPr>
          <w:rFonts w:ascii="Courier New" w:hAnsi="Courier New" w:cs="Courier New"/>
        </w:rPr>
        <w:noBreakHyphen/>
        <w:t>2534 may request, either orally or in writing, an initial appeal of that denial by notifying the person described in section 20</w:t>
      </w:r>
      <w:r w:rsidRPr="00BA1247">
        <w:rPr>
          <w:rFonts w:ascii="Courier New" w:hAnsi="Courier New" w:cs="Courier New"/>
        </w:rPr>
        <w:noBreakHyphen/>
        <w:t>2533, subsection H, paragraph 3.  After the denial, the member has up to two years to request an initial appeal.  </w:t>
      </w:r>
    </w:p>
    <w:p w14:paraId="41091AB9" w14:textId="385396FC" w:rsidR="00CA4D09" w:rsidRPr="00BA1247" w:rsidRDefault="00282B96" w:rsidP="00CA4D09">
      <w:pPr>
        <w:pStyle w:val="P06-00"/>
        <w:rPr>
          <w:rFonts w:ascii="Courier New" w:hAnsi="Courier New" w:cs="Courier New"/>
        </w:rPr>
      </w:pPr>
      <w:r w:rsidRPr="00BA1247">
        <w:rPr>
          <w:rFonts w:ascii="Courier New" w:hAnsi="Courier New" w:cs="Courier New"/>
        </w:rPr>
        <w:t>B</w:t>
      </w:r>
      <w:r w:rsidR="00CA4D09" w:rsidRPr="00BA1247">
        <w:rPr>
          <w:rFonts w:ascii="Courier New" w:hAnsi="Courier New" w:cs="Courier New"/>
        </w:rPr>
        <w:t xml:space="preserve">.  The utilization review agent may request any pertinent medical records pursuant to title 12, chapter 13, article 7.1 that are necessary for the initial appeal. </w:t>
      </w:r>
    </w:p>
    <w:p w14:paraId="1552F1CB" w14:textId="5784E9A5" w:rsidR="00CA4D09" w:rsidRPr="00BA1247" w:rsidRDefault="00282B96" w:rsidP="00CA4D09">
      <w:pPr>
        <w:pStyle w:val="P06-00"/>
        <w:rPr>
          <w:rFonts w:ascii="Courier New" w:hAnsi="Courier New" w:cs="Courier New"/>
        </w:rPr>
      </w:pPr>
      <w:r w:rsidRPr="00BA1247">
        <w:rPr>
          <w:rFonts w:ascii="Courier New" w:hAnsi="Courier New" w:cs="Courier New"/>
        </w:rPr>
        <w:t>C</w:t>
      </w:r>
      <w:r w:rsidR="00CA4D09" w:rsidRPr="00BA1247">
        <w:rPr>
          <w:rFonts w:ascii="Courier New" w:hAnsi="Courier New" w:cs="Courier New"/>
        </w:rPr>
        <w:t>.  If the member's appeal involves an issue of medical necessity or appropriateness, including health care setting, level of care or effectiveness of a covered benefit, or is experimental or investigational under the coverage document and not whether the service is covered, the utilization review agent shall select a provider to review the appeal and render a determination based on the utilization review plan.  For the purposes of this subsection:</w:t>
      </w:r>
    </w:p>
    <w:p w14:paraId="2A12B045" w14:textId="7241A521" w:rsidR="00CA4D09" w:rsidRPr="00BA1247" w:rsidRDefault="00282B96" w:rsidP="00CA4D09">
      <w:pPr>
        <w:pStyle w:val="JUSTIFYFULL"/>
        <w:ind w:firstLine="720"/>
        <w:rPr>
          <w:rFonts w:ascii="Courier New" w:hAnsi="Courier New" w:cs="Courier New"/>
        </w:rPr>
      </w:pPr>
      <w:r w:rsidRPr="00BA1247">
        <w:rPr>
          <w:rFonts w:ascii="Courier New" w:hAnsi="Courier New" w:cs="Courier New"/>
        </w:rPr>
        <w:t>1.  "Advanced practice registered nurse" means any of the following as defined in section 32-1601:</w:t>
      </w:r>
    </w:p>
    <w:p w14:paraId="2A011166" w14:textId="61C3E1D7" w:rsidR="00CA4D09" w:rsidRPr="00BA1247" w:rsidRDefault="00282B96" w:rsidP="00CA4D09">
      <w:pPr>
        <w:pStyle w:val="JUSTIFYFULL"/>
        <w:ind w:firstLine="720"/>
        <w:rPr>
          <w:rFonts w:ascii="Courier New" w:hAnsi="Courier New" w:cs="Courier New"/>
        </w:rPr>
      </w:pPr>
      <w:r w:rsidRPr="00BA1247">
        <w:rPr>
          <w:rFonts w:ascii="Courier New" w:hAnsi="Courier New" w:cs="Courier New"/>
        </w:rPr>
        <w:t>(a)  A certified nurse midwife.</w:t>
      </w:r>
    </w:p>
    <w:p w14:paraId="060530BA" w14:textId="6B663B6B" w:rsidR="00CA4D09" w:rsidRPr="00BA1247" w:rsidRDefault="00282B96" w:rsidP="00CA4D09">
      <w:pPr>
        <w:pStyle w:val="JUSTIFYFULL"/>
        <w:ind w:firstLine="720"/>
        <w:rPr>
          <w:rFonts w:ascii="Courier New" w:hAnsi="Courier New" w:cs="Courier New"/>
        </w:rPr>
      </w:pPr>
      <w:r w:rsidRPr="00BA1247">
        <w:rPr>
          <w:rFonts w:ascii="Courier New" w:hAnsi="Courier New" w:cs="Courier New"/>
        </w:rPr>
        <w:t>(b)  A certified registered nurse anesthetist.</w:t>
      </w:r>
    </w:p>
    <w:p w14:paraId="102B0BAB" w14:textId="133E7FD3" w:rsidR="00CA4D09" w:rsidRPr="00BA1247" w:rsidRDefault="00282B96" w:rsidP="00CA4D09">
      <w:pPr>
        <w:pStyle w:val="JUSTIFYFULL"/>
        <w:ind w:firstLine="720"/>
        <w:rPr>
          <w:rFonts w:ascii="Courier New" w:hAnsi="Courier New" w:cs="Courier New"/>
        </w:rPr>
      </w:pPr>
      <w:r w:rsidRPr="00BA1247">
        <w:rPr>
          <w:rFonts w:ascii="Courier New" w:hAnsi="Courier New" w:cs="Courier New"/>
        </w:rPr>
        <w:t>(c)  A clinical nurse specialist.</w:t>
      </w:r>
    </w:p>
    <w:p w14:paraId="5E6B4628" w14:textId="122BC222" w:rsidR="00CA4D09" w:rsidRPr="00BA1247" w:rsidRDefault="00282B96" w:rsidP="00CA4D09">
      <w:pPr>
        <w:pStyle w:val="JUSTIFYFULL"/>
        <w:ind w:firstLine="720"/>
        <w:rPr>
          <w:rFonts w:ascii="Courier New" w:hAnsi="Courier New" w:cs="Courier New"/>
        </w:rPr>
      </w:pPr>
      <w:r w:rsidRPr="00BA1247">
        <w:rPr>
          <w:rFonts w:ascii="Courier New" w:hAnsi="Courier New" w:cs="Courier New"/>
        </w:rPr>
        <w:t>(d)  A registered nurse practitioner.</w:t>
      </w:r>
    </w:p>
    <w:p w14:paraId="546F5EB9" w14:textId="671DF362" w:rsidR="00CA4D09" w:rsidRPr="00BA1247" w:rsidRDefault="00CA4D09" w:rsidP="00CA4D09">
      <w:pPr>
        <w:pStyle w:val="JUSTIFYFULL"/>
        <w:ind w:firstLine="720"/>
        <w:rPr>
          <w:rFonts w:ascii="Courier New" w:hAnsi="Courier New" w:cs="Courier New"/>
        </w:rPr>
      </w:pPr>
      <w:r w:rsidRPr="00BA1247">
        <w:rPr>
          <w:rFonts w:ascii="Courier New" w:hAnsi="Courier New" w:cs="Courier New"/>
        </w:rPr>
        <w:t>2.  "</w:t>
      </w:r>
      <w:r w:rsidR="00282B96" w:rsidRPr="00BA1247">
        <w:rPr>
          <w:rFonts w:ascii="Courier New" w:hAnsi="Courier New" w:cs="Courier New"/>
        </w:rPr>
        <w:t>P</w:t>
      </w:r>
      <w:r w:rsidRPr="00BA1247">
        <w:rPr>
          <w:rFonts w:ascii="Courier New" w:hAnsi="Courier New" w:cs="Courier New"/>
        </w:rPr>
        <w:t xml:space="preserve">rovider" means either of the following: </w:t>
      </w:r>
    </w:p>
    <w:p w14:paraId="4F91B227" w14:textId="5F4769BC" w:rsidR="00CA4D09" w:rsidRPr="00BA1247" w:rsidRDefault="00CA4D09" w:rsidP="00CA4D09">
      <w:pPr>
        <w:pStyle w:val="P06-00"/>
        <w:rPr>
          <w:rFonts w:ascii="Courier New" w:hAnsi="Courier New" w:cs="Courier New"/>
        </w:rPr>
      </w:pPr>
      <w:r w:rsidRPr="00BA1247">
        <w:rPr>
          <w:rFonts w:ascii="Courier New" w:hAnsi="Courier New" w:cs="Courier New"/>
        </w:rPr>
        <w:t xml:space="preserve">(a)  A physician or other health care professional who is licensed pursuant to title 32, chapter 7, 8, 11, 13, 14, 16, 17, 19, 19.1 or 29 or an advanced practice registered nurse who is licensed pursuant to title 32, chapter 15, who is qualified in a similar scope of practice as a physician or other health care professional licensed pursuant to title 32, chapter 7, 8, 11, 13, 14, 16, 17, 19, 19.1 or 29 or an advanced practice registered nurse who is licensed pursuant to title 32, chapter 15 and who is </w:t>
      </w:r>
      <w:r w:rsidR="00881169" w:rsidRPr="00BA1247">
        <w:rPr>
          <w:rFonts w:ascii="Courier New" w:hAnsi="Courier New" w:cs="Courier New"/>
        </w:rPr>
        <w:t xml:space="preserve">employed or </w:t>
      </w:r>
      <w:r w:rsidRPr="00BA1247">
        <w:rPr>
          <w:rFonts w:ascii="Courier New" w:hAnsi="Courier New" w:cs="Courier New"/>
        </w:rPr>
        <w:t xml:space="preserve">under contract with the utilization review agent. </w:t>
      </w:r>
    </w:p>
    <w:p w14:paraId="236C5EEE" w14:textId="613A69A8" w:rsidR="00CA4D09" w:rsidRPr="00BA1247" w:rsidRDefault="00CA4D09" w:rsidP="00CA4D09">
      <w:pPr>
        <w:pStyle w:val="P06-00"/>
        <w:rPr>
          <w:rFonts w:ascii="Courier New" w:hAnsi="Courier New" w:cs="Courier New"/>
        </w:rPr>
      </w:pPr>
      <w:r w:rsidRPr="00BA1247">
        <w:rPr>
          <w:rFonts w:ascii="Courier New" w:hAnsi="Courier New" w:cs="Courier New"/>
        </w:rPr>
        <w:t>(b)  An out</w:t>
      </w:r>
      <w:r w:rsidR="00282B96" w:rsidRPr="00BA1247">
        <w:rPr>
          <w:rFonts w:ascii="Courier New" w:hAnsi="Courier New" w:cs="Courier New"/>
        </w:rPr>
        <w:noBreakHyphen/>
      </w:r>
      <w:r w:rsidRPr="00BA1247">
        <w:rPr>
          <w:rFonts w:ascii="Courier New" w:hAnsi="Courier New" w:cs="Courier New"/>
        </w:rPr>
        <w:t>of</w:t>
      </w:r>
      <w:r w:rsidR="00282B96" w:rsidRPr="00BA1247">
        <w:rPr>
          <w:rFonts w:ascii="Courier New" w:hAnsi="Courier New" w:cs="Courier New"/>
        </w:rPr>
        <w:noBreakHyphen/>
      </w:r>
      <w:r w:rsidRPr="00BA1247">
        <w:rPr>
          <w:rFonts w:ascii="Courier New" w:hAnsi="Courier New" w:cs="Courier New"/>
        </w:rPr>
        <w:t>state physician or other health care professional who is licensed in another state and who is not licensed in this state, who is employed or under contract with the utilization review agent and who either is qualified in a similar scope of practice as a physician or other health care professional licensed pursuant to title 32, chapter 7, 8, 11, 13, 14, 16, 17, 19, 19.1 or 29 or an advanced practice registered nurse who is licensed pursuant to title 32, chapter 15</w:t>
      </w:r>
      <w:r w:rsidRPr="00BA1247">
        <w:rPr>
          <w:rFonts w:ascii="Courier New" w:hAnsi="Courier New" w:cs="Courier New"/>
          <w:bCs/>
          <w:caps/>
          <w:color w:val="0000FF"/>
          <w:shd w:val="clear" w:color="auto" w:fill="FFFFFF"/>
        </w:rPr>
        <w:t xml:space="preserve"> </w:t>
      </w:r>
      <w:r w:rsidRPr="00BA1247">
        <w:rPr>
          <w:rFonts w:ascii="Courier New" w:hAnsi="Courier New" w:cs="Courier New"/>
        </w:rPr>
        <w:t xml:space="preserve">or who typically manages the medical condition under appeal. </w:t>
      </w:r>
    </w:p>
    <w:p w14:paraId="0F82A55C" w14:textId="6E6B0FC6" w:rsidR="00CA4D09" w:rsidRPr="00BA1247" w:rsidRDefault="00CA4D09" w:rsidP="00CA4D09">
      <w:pPr>
        <w:pStyle w:val="P06-00"/>
        <w:rPr>
          <w:rFonts w:ascii="Courier New" w:hAnsi="Courier New" w:cs="Courier New"/>
        </w:rPr>
      </w:pPr>
      <w:r w:rsidRPr="00BA1247">
        <w:rPr>
          <w:rFonts w:ascii="Courier New" w:hAnsi="Courier New" w:cs="Courier New"/>
        </w:rPr>
        <w:t>D.  Within the time frames prescribed in section 20</w:t>
      </w:r>
      <w:r w:rsidRPr="00BA1247">
        <w:rPr>
          <w:rFonts w:ascii="Courier New" w:hAnsi="Courier New" w:cs="Courier New"/>
        </w:rPr>
        <w:noBreakHyphen/>
        <w:t xml:space="preserve">2533, subsections C and D, </w:t>
      </w:r>
      <w:r w:rsidR="00881169" w:rsidRPr="00BA1247">
        <w:rPr>
          <w:rFonts w:ascii="Courier New" w:hAnsi="Courier New" w:cs="Courier New"/>
        </w:rPr>
        <w:t>t</w:t>
      </w:r>
      <w:r w:rsidRPr="00BA1247">
        <w:rPr>
          <w:rFonts w:ascii="Courier New" w:hAnsi="Courier New" w:cs="Courier New"/>
        </w:rPr>
        <w:t>he utilization review agent shall send to the member and the member's treating provider a notice of the utilization review agent's determination and the basis, criteria used, clinical reasons and rationale for that determination.</w:t>
      </w:r>
    </w:p>
    <w:p w14:paraId="220E662F" w14:textId="0B7A5A74" w:rsidR="00CA4D09" w:rsidRPr="00BA1247" w:rsidRDefault="00CA4D09" w:rsidP="00CA4D09">
      <w:pPr>
        <w:pStyle w:val="P06-00"/>
        <w:rPr>
          <w:rFonts w:ascii="Courier New" w:hAnsi="Courier New" w:cs="Courier New"/>
        </w:rPr>
      </w:pPr>
      <w:r w:rsidRPr="00BA1247">
        <w:rPr>
          <w:rFonts w:ascii="Courier New" w:hAnsi="Courier New" w:cs="Courier New"/>
        </w:rPr>
        <w:t>E.  At any time during the initial appeal process, the utilization review agent may submit a request to the director to initiate an external independent review process pursuant to section 20</w:t>
      </w:r>
      <w:r w:rsidRPr="00BA1247">
        <w:rPr>
          <w:rFonts w:ascii="Courier New" w:hAnsi="Courier New" w:cs="Courier New"/>
        </w:rPr>
        <w:noBreakHyphen/>
        <w:t>2537.  At the same time that the utilization review agent submits the request to the director, the utilization review agent shall also render a written determination and shall send the written determination, including the basis, criteria used, clinical reasons and rationale for that determination and any references to supporting documentation, to the member, the member's treating provider and the director.</w:t>
      </w:r>
    </w:p>
    <w:p w14:paraId="1D72CF8D" w14:textId="1B37272F" w:rsidR="00CA4D09" w:rsidRPr="00BA1247" w:rsidRDefault="00CA4D09" w:rsidP="00CA4D09">
      <w:pPr>
        <w:pStyle w:val="P06-00"/>
        <w:rPr>
          <w:rFonts w:ascii="Courier New" w:hAnsi="Courier New" w:cs="Courier New"/>
        </w:rPr>
      </w:pPr>
      <w:r w:rsidRPr="00BA1247">
        <w:rPr>
          <w:rFonts w:ascii="Courier New" w:hAnsi="Courier New" w:cs="Courier New"/>
        </w:rPr>
        <w:t>F.  If the utilization review agent does not submit a request to the director pursuant to subsection E of this section and at the conclusion of the initial appeal process the utilization review agent denies the covered service or the claim for the covered service, the utilization review agent shall provide the member and the treating provider with a written statement of the agent's decision and the basis, criteria used, clinical reasons and rationale for that determination, including any references to any supporting documentation.  The determination shall include a notice of the option to proceed to the voluntary internal appeal process pursuant to section 20</w:t>
      </w:r>
      <w:r w:rsidRPr="00BA1247">
        <w:rPr>
          <w:rFonts w:ascii="Courier New" w:hAnsi="Courier New" w:cs="Courier New"/>
        </w:rPr>
        <w:noBreakHyphen/>
        <w:t>2536 for a group health plan or grandfathered individual plan for which the health care insurer elected to have a voluntary internal appeal level of review or to an external independent review pursuant to section 20</w:t>
      </w:r>
      <w:r w:rsidRPr="00BA1247">
        <w:rPr>
          <w:rFonts w:ascii="Courier New" w:hAnsi="Courier New" w:cs="Courier New"/>
        </w:rPr>
        <w:noBreakHyphen/>
        <w:t>2537 if the health care insurer has only one internal level of review.</w:t>
      </w:r>
    </w:p>
    <w:p w14:paraId="4F2ECC35" w14:textId="281290EE" w:rsidR="00F540AD" w:rsidRPr="00BA1247" w:rsidRDefault="00CA4D09" w:rsidP="00CA4D09">
      <w:pPr>
        <w:pStyle w:val="P06-00"/>
        <w:keepNext/>
        <w:keepLines/>
        <w:rPr>
          <w:rFonts w:ascii="Courier New" w:hAnsi="Courier New" w:cs="Courier New"/>
        </w:rPr>
      </w:pPr>
      <w:r w:rsidRPr="00BA1247">
        <w:rPr>
          <w:rFonts w:ascii="Courier New" w:hAnsi="Courier New" w:cs="Courier New"/>
        </w:rPr>
        <w:t xml:space="preserve">G.  If the utilization review agent concludes that the covered service should be provided or the claim for a covered service should be paid, the health care insurer is bound by the utilization review agent's determination. </w:t>
      </w:r>
      <w:r w:rsidRPr="00BA1247">
        <w:rPr>
          <w:rFonts w:ascii="Courier New" w:hAnsi="Courier New" w:cs="Courier New"/>
        </w:rPr>
        <w:fldChar w:fldCharType="begin"/>
      </w:r>
      <w:r w:rsidRPr="00BA1247">
        <w:rPr>
          <w:rFonts w:ascii="Courier New" w:hAnsi="Courier New" w:cs="Courier New"/>
        </w:rPr>
        <w:instrText xml:space="preserve"> COMMENTS END_STATUTE \* MERGEFORMAT </w:instrText>
      </w:r>
      <w:r w:rsidRPr="00BA1247">
        <w:rPr>
          <w:rFonts w:ascii="Courier New" w:hAnsi="Courier New" w:cs="Courier New"/>
        </w:rPr>
        <w:fldChar w:fldCharType="separate"/>
      </w:r>
      <w:r w:rsidRPr="00BA1247">
        <w:rPr>
          <w:rFonts w:ascii="Courier New" w:hAnsi="Courier New" w:cs="Courier New"/>
          <w:vanish/>
        </w:rPr>
        <w:t>END_STATUTE</w:t>
      </w:r>
      <w:r w:rsidRPr="00BA1247">
        <w:rPr>
          <w:rFonts w:ascii="Courier New" w:hAnsi="Courier New" w:cs="Courier New"/>
        </w:rPr>
        <w:fldChar w:fldCharType="end"/>
      </w:r>
    </w:p>
    <w:sectPr w:rsidR="00F540AD" w:rsidRPr="00BA1247" w:rsidSect="00CA4D09">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E18870" w14:textId="77777777" w:rsidR="00CA4D09" w:rsidRDefault="00CA4D09">
      <w:r>
        <w:separator/>
      </w:r>
    </w:p>
  </w:endnote>
  <w:endnote w:type="continuationSeparator" w:id="0">
    <w:p w14:paraId="08DC9E3D" w14:textId="77777777" w:rsidR="00CA4D09" w:rsidRDefault="00CA4D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26150" w14:textId="77777777" w:rsidR="00CA4D09" w:rsidRDefault="00CA4D09">
      <w:r>
        <w:separator/>
      </w:r>
    </w:p>
  </w:footnote>
  <w:footnote w:type="continuationSeparator" w:id="0">
    <w:p w14:paraId="25B908C5" w14:textId="77777777" w:rsidR="00CA4D09" w:rsidRDefault="00CA4D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94524367">
    <w:abstractNumId w:val="8"/>
  </w:num>
  <w:num w:numId="2" w16cid:durableId="1108282907">
    <w:abstractNumId w:val="8"/>
  </w:num>
  <w:num w:numId="3" w16cid:durableId="1466504167">
    <w:abstractNumId w:val="7"/>
  </w:num>
  <w:num w:numId="4" w16cid:durableId="1853107946">
    <w:abstractNumId w:val="7"/>
  </w:num>
  <w:num w:numId="5" w16cid:durableId="1157264117">
    <w:abstractNumId w:val="10"/>
  </w:num>
  <w:num w:numId="6" w16cid:durableId="1093161494">
    <w:abstractNumId w:val="11"/>
  </w:num>
  <w:num w:numId="7" w16cid:durableId="818614717">
    <w:abstractNumId w:val="12"/>
  </w:num>
  <w:num w:numId="8" w16cid:durableId="704409275">
    <w:abstractNumId w:val="9"/>
  </w:num>
  <w:num w:numId="9" w16cid:durableId="715743107">
    <w:abstractNumId w:val="6"/>
  </w:num>
  <w:num w:numId="10" w16cid:durableId="433131406">
    <w:abstractNumId w:val="5"/>
  </w:num>
  <w:num w:numId="11" w16cid:durableId="1290280191">
    <w:abstractNumId w:val="4"/>
  </w:num>
  <w:num w:numId="12" w16cid:durableId="889682345">
    <w:abstractNumId w:val="3"/>
  </w:num>
  <w:num w:numId="13" w16cid:durableId="984892818">
    <w:abstractNumId w:val="2"/>
  </w:num>
  <w:num w:numId="14" w16cid:durableId="783118599">
    <w:abstractNumId w:val="1"/>
  </w:num>
  <w:num w:numId="15" w16cid:durableId="11774250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09"/>
    <w:rsid w:val="00010503"/>
    <w:rsid w:val="00033AE7"/>
    <w:rsid w:val="00282B96"/>
    <w:rsid w:val="00881169"/>
    <w:rsid w:val="00BA1247"/>
    <w:rsid w:val="00CA4D09"/>
    <w:rsid w:val="00E41B6D"/>
    <w:rsid w:val="00E623A6"/>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7161B"/>
  <w15:chartTrackingRefBased/>
  <w15:docId w15:val="{E196ED24-BEA3-41F3-9E65-6454D51E4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link w:val="SEC06-18Char"/>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CA4D09"/>
    <w:rPr>
      <w:rFonts w:ascii="Letter Gothic-Drafting" w:hAnsi="Letter Gothic-Drafting"/>
      <w:b/>
      <w:snapToGrid w:val="0"/>
    </w:rPr>
  </w:style>
  <w:style w:type="character" w:customStyle="1" w:styleId="SEC06-18Char">
    <w:name w:val="SEC 06-18 Char"/>
    <w:link w:val="SEC06-18"/>
    <w:rsid w:val="00CA4D09"/>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747</Words>
  <Characters>3880</Characters>
  <Application>Microsoft Office Word</Application>
  <DocSecurity>0</DocSecurity>
  <Lines>74</Lines>
  <Paragraphs>19</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4608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20-2535; Initial appeal</dc:title>
  <dc:subject>Initial appeal</dc:subject>
  <dc:creator>Arizona Legislative Council</dc:creator>
  <cp:keywords/>
  <dc:description>0178.docx - 562R - 2024</dc:description>
  <cp:lastModifiedBy>dbupdate</cp:lastModifiedBy>
  <cp:revision>2</cp:revision>
  <dcterms:created xsi:type="dcterms:W3CDTF">2025-09-20T11:06:00Z</dcterms:created>
  <dcterms:modified xsi:type="dcterms:W3CDTF">2025-09-20T11:06:00Z</dcterms:modified>
</cp:coreProperties>
</file>