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2B9D" w14:textId="77777777" w:rsidR="004A4CAC" w:rsidRPr="004A4CAC" w:rsidRDefault="004A4CAC">
      <w:pPr>
        <w:pStyle w:val="SEC06-21"/>
        <w:keepNext/>
        <w:keepLines/>
        <w:rPr>
          <w:rFonts w:ascii="Courier New" w:hAnsi="Courier New"/>
        </w:rPr>
      </w:pPr>
      <w:r w:rsidRPr="004A4CAC">
        <w:rPr>
          <w:rFonts w:ascii="Courier New" w:hAnsi="Courier New"/>
          <w:vanish/>
        </w:rPr>
        <w:fldChar w:fldCharType="begin"/>
      </w:r>
      <w:r w:rsidRPr="004A4CAC">
        <w:rPr>
          <w:rFonts w:ascii="Courier New" w:hAnsi="Courier New"/>
          <w:vanish/>
        </w:rPr>
        <w:instrText xml:space="preserve"> COMMENTS START_STATUTE \* MERGEFORMAT </w:instrText>
      </w:r>
      <w:r w:rsidRPr="004A4CAC">
        <w:rPr>
          <w:rFonts w:ascii="Courier New" w:hAnsi="Courier New"/>
          <w:vanish/>
        </w:rPr>
        <w:fldChar w:fldCharType="separate"/>
      </w:r>
      <w:r w:rsidRPr="004A4CAC">
        <w:rPr>
          <w:rFonts w:ascii="Courier New" w:hAnsi="Courier New"/>
          <w:vanish/>
        </w:rPr>
        <w:t>START_STATUTE</w:t>
      </w:r>
      <w:r w:rsidRPr="004A4CAC">
        <w:rPr>
          <w:rFonts w:ascii="Courier New" w:hAnsi="Courier New"/>
          <w:vanish/>
        </w:rPr>
        <w:fldChar w:fldCharType="end"/>
      </w:r>
      <w:r w:rsidRPr="004A4CAC">
        <w:rPr>
          <w:rStyle w:val="SNUM"/>
          <w:rFonts w:ascii="Courier New" w:hAnsi="Courier New"/>
        </w:rPr>
        <w:t>20-1691.02</w:t>
      </w:r>
      <w:r w:rsidRPr="004A4CAC">
        <w:rPr>
          <w:rFonts w:ascii="Courier New" w:hAnsi="Courier New"/>
        </w:rPr>
        <w:t>.  </w:t>
      </w:r>
      <w:r w:rsidRPr="004A4CAC">
        <w:rPr>
          <w:rStyle w:val="SECHEAD"/>
          <w:rFonts w:ascii="Courier New" w:hAnsi="Courier New"/>
        </w:rPr>
        <w:t>Adoption of rules</w:t>
      </w:r>
    </w:p>
    <w:p w14:paraId="53D1FD53" w14:textId="77777777" w:rsidR="004A4CAC" w:rsidRPr="004A4CAC" w:rsidRDefault="004A4CAC">
      <w:pPr>
        <w:pStyle w:val="P06-00"/>
        <w:keepNext/>
        <w:keepLines/>
        <w:rPr>
          <w:rFonts w:ascii="Courier New" w:hAnsi="Courier New"/>
        </w:rPr>
      </w:pPr>
      <w:r w:rsidRPr="004A4CAC">
        <w:rPr>
          <w:rFonts w:ascii="Courier New" w:hAnsi="Courier New"/>
        </w:rPr>
        <w:t>The director may adopt reasonable rules to implement this article, including rules that:</w:t>
      </w:r>
    </w:p>
    <w:p w14:paraId="39F04A72" w14:textId="77777777" w:rsidR="004A4CAC" w:rsidRPr="004A4CAC" w:rsidRDefault="004A4CAC">
      <w:pPr>
        <w:pStyle w:val="P06-00"/>
        <w:rPr>
          <w:rFonts w:ascii="Courier New" w:hAnsi="Courier New"/>
        </w:rPr>
      </w:pPr>
      <w:r w:rsidRPr="004A4CAC">
        <w:rPr>
          <w:rFonts w:ascii="Courier New" w:hAnsi="Courier New"/>
        </w:rPr>
        <w:t>1.  Establish specific standards for policy provisions of long</w:t>
      </w:r>
      <w:r w:rsidRPr="004A4CAC">
        <w:rPr>
          <w:rFonts w:ascii="Courier New" w:hAnsi="Courier New"/>
        </w:rPr>
        <w:noBreakHyphen/>
        <w:t xml:space="preserve">term care insurance policies, including terms of </w:t>
      </w:r>
      <w:proofErr w:type="spellStart"/>
      <w:r w:rsidRPr="004A4CAC">
        <w:rPr>
          <w:rFonts w:ascii="Courier New" w:hAnsi="Courier New"/>
        </w:rPr>
        <w:t>renewability</w:t>
      </w:r>
      <w:proofErr w:type="spellEnd"/>
      <w:r w:rsidRPr="004A4CAC">
        <w:rPr>
          <w:rFonts w:ascii="Courier New" w:hAnsi="Courier New"/>
        </w:rPr>
        <w:t xml:space="preserve">, initial and subsequent conditions of eligibility, </w:t>
      </w:r>
      <w:proofErr w:type="spellStart"/>
      <w:r w:rsidRPr="004A4CAC">
        <w:rPr>
          <w:rFonts w:ascii="Courier New" w:hAnsi="Courier New"/>
        </w:rPr>
        <w:t>nonduplication</w:t>
      </w:r>
      <w:proofErr w:type="spellEnd"/>
      <w:r w:rsidRPr="004A4CAC">
        <w:rPr>
          <w:rFonts w:ascii="Courier New" w:hAnsi="Courier New"/>
        </w:rPr>
        <w:t xml:space="preserve"> of coverage, coverage of dependents, preexisting conditions, termination of insurance, continuation, conversion, probationary periods, limitations, exceptions, reductions, elimination periods, replacement, recurrent conditions and definitions.</w:t>
      </w:r>
    </w:p>
    <w:p w14:paraId="5264C377" w14:textId="77777777" w:rsidR="004A4CAC" w:rsidRPr="004A4CAC" w:rsidRDefault="004A4CAC">
      <w:pPr>
        <w:pStyle w:val="P06-00"/>
        <w:rPr>
          <w:rFonts w:ascii="Courier New" w:hAnsi="Courier New"/>
        </w:rPr>
      </w:pPr>
      <w:r w:rsidRPr="004A4CAC">
        <w:rPr>
          <w:rFonts w:ascii="Courier New" w:hAnsi="Courier New"/>
        </w:rPr>
        <w:t>2.  Establish loss ratio standards for long</w:t>
      </w:r>
      <w:r w:rsidRPr="004A4CAC">
        <w:rPr>
          <w:rFonts w:ascii="Courier New" w:hAnsi="Courier New"/>
        </w:rPr>
        <w:noBreakHyphen/>
        <w:t>term care insurance policies provided that a specific reference to long</w:t>
      </w:r>
      <w:r w:rsidRPr="004A4CAC">
        <w:rPr>
          <w:rFonts w:ascii="Courier New" w:hAnsi="Courier New"/>
        </w:rPr>
        <w:noBreakHyphen/>
        <w:t>term care insurance policies is contained in the rule.</w:t>
      </w:r>
    </w:p>
    <w:p w14:paraId="7EAB9414" w14:textId="77777777" w:rsidR="004A4CAC" w:rsidRPr="004A4CAC" w:rsidRDefault="004A4CAC">
      <w:pPr>
        <w:pStyle w:val="P06-00"/>
        <w:rPr>
          <w:rFonts w:ascii="Courier New" w:hAnsi="Courier New"/>
        </w:rPr>
      </w:pPr>
      <w:r w:rsidRPr="004A4CAC">
        <w:rPr>
          <w:rFonts w:ascii="Courier New" w:hAnsi="Courier New"/>
        </w:rPr>
        <w:t>3.  Promote premium adequacy and protect policyholders in the event of substantial rate increases.</w:t>
      </w:r>
    </w:p>
    <w:p w14:paraId="175CBA08" w14:textId="77777777" w:rsidR="004A4CAC" w:rsidRPr="004A4CAC" w:rsidRDefault="004A4CAC">
      <w:pPr>
        <w:pStyle w:val="P06-00"/>
        <w:rPr>
          <w:rFonts w:ascii="Courier New" w:hAnsi="Courier New"/>
        </w:rPr>
      </w:pPr>
      <w:r w:rsidRPr="004A4CAC">
        <w:rPr>
          <w:rFonts w:ascii="Courier New" w:hAnsi="Courier New"/>
        </w:rPr>
        <w:t>4.  Establish standards for the manner, content and required disclosure for the sale of long</w:t>
      </w:r>
      <w:r w:rsidRPr="004A4CAC">
        <w:rPr>
          <w:rFonts w:ascii="Courier New" w:hAnsi="Courier New"/>
        </w:rPr>
        <w:noBreakHyphen/>
        <w:t>term care insurance policies, including disclosure of policy provisions, conditions and limitations.</w:t>
      </w:r>
    </w:p>
    <w:p w14:paraId="5B5974A2" w14:textId="77777777" w:rsidR="004A4CAC" w:rsidRPr="004A4CAC" w:rsidRDefault="004A4CAC">
      <w:pPr>
        <w:pStyle w:val="P06-00"/>
        <w:rPr>
          <w:rFonts w:ascii="Courier New" w:hAnsi="Courier New"/>
        </w:rPr>
      </w:pPr>
      <w:r w:rsidRPr="004A4CAC">
        <w:rPr>
          <w:rFonts w:ascii="Courier New" w:hAnsi="Courier New"/>
        </w:rPr>
        <w:t>5.  Prescribe a standard format, including style, arrangement and overall appearance, and the content of an outline of coverage.</w:t>
      </w:r>
    </w:p>
    <w:p w14:paraId="11DC5FBE" w14:textId="77777777" w:rsidR="004A4CAC" w:rsidRPr="004A4CAC" w:rsidRDefault="004A4CAC">
      <w:pPr>
        <w:pStyle w:val="P06-00"/>
        <w:rPr>
          <w:rFonts w:ascii="Courier New" w:hAnsi="Courier New"/>
        </w:rPr>
      </w:pPr>
      <w:r w:rsidRPr="004A4CAC">
        <w:rPr>
          <w:rFonts w:ascii="Courier New" w:hAnsi="Courier New"/>
        </w:rPr>
        <w:t>6.  Establish minimum standards for marketing practices, insurance producer testing and reporting practices relating to long</w:t>
      </w:r>
      <w:r w:rsidRPr="004A4CAC">
        <w:rPr>
          <w:rFonts w:ascii="Courier New" w:hAnsi="Courier New"/>
        </w:rPr>
        <w:noBreakHyphen/>
        <w:t>term care insurance and penalties for violating the standards.</w:t>
      </w:r>
    </w:p>
    <w:p w14:paraId="4E51BD49" w14:textId="77777777" w:rsidR="004A4CAC" w:rsidRPr="004A4CAC" w:rsidRDefault="004A4CAC">
      <w:pPr>
        <w:pStyle w:val="P06-00"/>
        <w:rPr>
          <w:rFonts w:ascii="Courier New" w:hAnsi="Courier New"/>
          <w:vanish/>
        </w:rPr>
      </w:pPr>
      <w:r w:rsidRPr="004A4CAC">
        <w:rPr>
          <w:rFonts w:ascii="Courier New" w:hAnsi="Courier New"/>
        </w:rPr>
        <w:t xml:space="preserve">7.  Specify the type or types of </w:t>
      </w:r>
      <w:proofErr w:type="spellStart"/>
      <w:r w:rsidRPr="004A4CAC">
        <w:rPr>
          <w:rFonts w:ascii="Courier New" w:hAnsi="Courier New"/>
        </w:rPr>
        <w:t>nonforfeiture</w:t>
      </w:r>
      <w:proofErr w:type="spellEnd"/>
      <w:r w:rsidRPr="004A4CAC">
        <w:rPr>
          <w:rFonts w:ascii="Courier New" w:hAnsi="Courier New"/>
        </w:rPr>
        <w:t xml:space="preserve"> benefits to be offered as part of a long</w:t>
      </w:r>
      <w:r w:rsidRPr="004A4CAC">
        <w:rPr>
          <w:rFonts w:ascii="Courier New" w:hAnsi="Courier New"/>
        </w:rPr>
        <w:noBreakHyphen/>
        <w:t xml:space="preserve">term care insurance policy and certificate, the standards for </w:t>
      </w:r>
      <w:proofErr w:type="spellStart"/>
      <w:r w:rsidRPr="004A4CAC">
        <w:rPr>
          <w:rFonts w:ascii="Courier New" w:hAnsi="Courier New"/>
        </w:rPr>
        <w:t>nonforfeiture</w:t>
      </w:r>
      <w:proofErr w:type="spellEnd"/>
      <w:r w:rsidRPr="004A4CAC">
        <w:rPr>
          <w:rFonts w:ascii="Courier New" w:hAnsi="Courier New"/>
        </w:rPr>
        <w:t xml:space="preserve"> benefits and the requirements for contingent benefit on lapse, including a determination of the specified period of time during which a contingent benefit on lapse will be available and the substantial premium rate increase that triggers a contingent benefit on lapse as described in section 20</w:t>
      </w:r>
      <w:r w:rsidRPr="004A4CAC">
        <w:rPr>
          <w:rFonts w:ascii="Courier New" w:hAnsi="Courier New"/>
        </w:rPr>
        <w:noBreakHyphen/>
        <w:t>1691.11.</w:t>
      </w:r>
      <w:r w:rsidRPr="004A4CAC">
        <w:rPr>
          <w:rFonts w:ascii="Courier New" w:hAnsi="Courier New"/>
          <w:vanish/>
        </w:rPr>
        <w:fldChar w:fldCharType="begin"/>
      </w:r>
      <w:r w:rsidRPr="004A4CAC">
        <w:rPr>
          <w:rFonts w:ascii="Courier New" w:hAnsi="Courier New"/>
          <w:vanish/>
        </w:rPr>
        <w:instrText xml:space="preserve"> COMMENTS END_STATUTE \* MERGEFORMAT </w:instrText>
      </w:r>
      <w:r w:rsidRPr="004A4CAC">
        <w:rPr>
          <w:rFonts w:ascii="Courier New" w:hAnsi="Courier New"/>
          <w:vanish/>
        </w:rPr>
        <w:fldChar w:fldCharType="separate"/>
      </w:r>
      <w:r w:rsidRPr="004A4CAC">
        <w:rPr>
          <w:rFonts w:ascii="Courier New" w:hAnsi="Courier New"/>
          <w:vanish/>
        </w:rPr>
        <w:t>END_STATUTE</w:t>
      </w:r>
      <w:r w:rsidRPr="004A4CAC">
        <w:rPr>
          <w:rFonts w:ascii="Courier New" w:hAnsi="Courier New"/>
          <w:vanish/>
        </w:rPr>
        <w:fldChar w:fldCharType="end"/>
      </w:r>
    </w:p>
    <w:sectPr w:rsidR="00000000" w:rsidRPr="004A4CAC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854B" w14:textId="77777777" w:rsidR="004A4CAC" w:rsidRDefault="004A4CAC">
      <w:r>
        <w:separator/>
      </w:r>
    </w:p>
  </w:endnote>
  <w:endnote w:type="continuationSeparator" w:id="0">
    <w:p w14:paraId="2F105CC2" w14:textId="77777777" w:rsidR="004A4CAC" w:rsidRDefault="004A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7B61" w14:textId="77777777" w:rsidR="004A4CAC" w:rsidRDefault="004A4CAC">
      <w:r>
        <w:separator/>
      </w:r>
    </w:p>
  </w:footnote>
  <w:footnote w:type="continuationSeparator" w:id="0">
    <w:p w14:paraId="343B4E69" w14:textId="77777777" w:rsidR="004A4CAC" w:rsidRDefault="004A4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5756810">
    <w:abstractNumId w:val="1"/>
  </w:num>
  <w:num w:numId="2" w16cid:durableId="1052853549">
    <w:abstractNumId w:val="1"/>
  </w:num>
  <w:num w:numId="3" w16cid:durableId="194660540">
    <w:abstractNumId w:val="0"/>
  </w:num>
  <w:num w:numId="4" w16cid:durableId="4926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AC"/>
    <w:rsid w:val="004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8233B"/>
  <w15:chartTrackingRefBased/>
  <w15:docId w15:val="{1E0AADCC-FBF0-48AB-BC4C-4347485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259</Words>
  <Characters>1651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20-1691.02; Adoption of rules</dc:title>
  <dc:subject>Adoption of rules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2025-09-20T10:46:00Z</dcterms:created>
  <dcterms:modified xsi:type="dcterms:W3CDTF">2025-09-20T10:46:00Z</dcterms:modified>
</cp:coreProperties>
</file>