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2FC" w14:textId="16C3631B" w:rsidR="00FC6B44" w:rsidRPr="00B63AE1" w:rsidRDefault="00FC6B44" w:rsidP="00FC6B44">
      <w:pPr>
        <w:pStyle w:val="SEC06-17"/>
        <w:rPr>
          <w:rStyle w:val="SECHEAD"/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fldChar w:fldCharType="begin"/>
      </w:r>
      <w:r w:rsidRPr="00B63AE1">
        <w:rPr>
          <w:rFonts w:ascii="Courier New" w:hAnsi="Courier New" w:cs="Courier New"/>
        </w:rPr>
        <w:instrText xml:space="preserve"> COMMENTS START_STATUTE \* MERGEFORMAT </w:instrText>
      </w:r>
      <w:r w:rsidRPr="00B63AE1">
        <w:rPr>
          <w:rFonts w:ascii="Courier New" w:hAnsi="Courier New" w:cs="Courier New"/>
        </w:rPr>
        <w:fldChar w:fldCharType="separate"/>
      </w:r>
      <w:r w:rsidRPr="00B63AE1">
        <w:rPr>
          <w:rFonts w:ascii="Courier New" w:hAnsi="Courier New" w:cs="Courier New"/>
          <w:vanish/>
        </w:rPr>
        <w:t>START_STATUTE</w:t>
      </w:r>
      <w:r w:rsidRPr="00B63AE1">
        <w:rPr>
          <w:rFonts w:ascii="Courier New" w:hAnsi="Courier New" w:cs="Courier New"/>
        </w:rPr>
        <w:fldChar w:fldCharType="end"/>
      </w:r>
      <w:r w:rsidRPr="00B63AE1">
        <w:rPr>
          <w:rStyle w:val="SNUM"/>
          <w:rFonts w:ascii="Courier New" w:hAnsi="Courier New" w:cs="Courier New"/>
        </w:rPr>
        <w:t>20-841.13.</w:t>
      </w:r>
      <w:r w:rsidRPr="00B63AE1">
        <w:rPr>
          <w:rFonts w:ascii="Courier New" w:hAnsi="Courier New" w:cs="Courier New"/>
        </w:rPr>
        <w:t>  </w:t>
      </w:r>
      <w:r w:rsidRPr="00B63AE1">
        <w:rPr>
          <w:rStyle w:val="SECHEAD"/>
          <w:rFonts w:ascii="Courier New" w:hAnsi="Courier New" w:cs="Courier New"/>
        </w:rPr>
        <w:t>Biomarker testing; coverage; definitions</w:t>
      </w:r>
    </w:p>
    <w:p w14:paraId="2B4C5F85" w14:textId="2FF8ED7D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A.  </w:t>
      </w:r>
      <w:r w:rsidR="00AD663C" w:rsidRPr="00B63AE1">
        <w:rPr>
          <w:rFonts w:ascii="Courier New" w:hAnsi="Courier New" w:cs="Courier New"/>
        </w:rPr>
        <w:t>A</w:t>
      </w:r>
      <w:r w:rsidRPr="00B63AE1">
        <w:rPr>
          <w:rFonts w:ascii="Courier New" w:hAnsi="Courier New" w:cs="Courier New"/>
        </w:rPr>
        <w:t xml:space="preserve"> hospital service corporation or medical service corporation that issues, amends, delivers or renews a subscription contract on or after January 1, 2023 shall provide coverage for biomarker testing. </w:t>
      </w:r>
    </w:p>
    <w:p w14:paraId="2BF94038" w14:textId="6D054548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B.  A subscription contract shall cover biomarker testing for the purposes of diagnosis, treatment, appropriate management or ongoing monitoring of a </w:t>
      </w:r>
      <w:r w:rsidR="003E2843" w:rsidRPr="00B63AE1">
        <w:rPr>
          <w:rFonts w:ascii="Courier New" w:hAnsi="Courier New" w:cs="Courier New"/>
        </w:rPr>
        <w:t>subscriber's d</w:t>
      </w:r>
      <w:r w:rsidRPr="00B63AE1">
        <w:rPr>
          <w:rFonts w:ascii="Courier New" w:hAnsi="Courier New" w:cs="Courier New"/>
        </w:rPr>
        <w:t xml:space="preserve">isease or condition to guide treatment decisions when the test provides clinical utility as demonstrated by medical and scientific evidence, including any of the following:  </w:t>
      </w:r>
    </w:p>
    <w:p w14:paraId="14216216" w14:textId="6E0CAA9E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1.  Labeled indications for tests that are approved or cleared by the </w:t>
      </w:r>
      <w:r w:rsidR="005E03A6" w:rsidRPr="00B63AE1">
        <w:rPr>
          <w:rFonts w:ascii="Courier New" w:hAnsi="Courier New" w:cs="Courier New"/>
        </w:rPr>
        <w:t xml:space="preserve">United States </w:t>
      </w:r>
      <w:r w:rsidRPr="00B63AE1">
        <w:rPr>
          <w:rFonts w:ascii="Courier New" w:hAnsi="Courier New" w:cs="Courier New"/>
        </w:rPr>
        <w:t xml:space="preserve">food and drug administration or indicated tests for a drug that is approved by the </w:t>
      </w:r>
      <w:r w:rsidR="003E2843" w:rsidRPr="00B63AE1">
        <w:rPr>
          <w:rFonts w:ascii="Courier New" w:hAnsi="Courier New" w:cs="Courier New"/>
        </w:rPr>
        <w:t>U</w:t>
      </w:r>
      <w:r w:rsidRPr="00B63AE1">
        <w:rPr>
          <w:rFonts w:ascii="Courier New" w:hAnsi="Courier New" w:cs="Courier New"/>
        </w:rPr>
        <w:t xml:space="preserve">nited </w:t>
      </w:r>
      <w:r w:rsidR="003E2843" w:rsidRPr="00B63AE1">
        <w:rPr>
          <w:rFonts w:ascii="Courier New" w:hAnsi="Courier New" w:cs="Courier New"/>
        </w:rPr>
        <w:t>S</w:t>
      </w:r>
      <w:r w:rsidRPr="00B63AE1">
        <w:rPr>
          <w:rFonts w:ascii="Courier New" w:hAnsi="Courier New" w:cs="Courier New"/>
        </w:rPr>
        <w:t xml:space="preserve">tates food and drug administration. </w:t>
      </w:r>
    </w:p>
    <w:p w14:paraId="5FBCB33E" w14:textId="5EDFDCD6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2.  </w:t>
      </w:r>
      <w:r w:rsidR="003E2843" w:rsidRPr="00B63AE1">
        <w:rPr>
          <w:rFonts w:ascii="Courier New" w:hAnsi="Courier New" w:cs="Courier New"/>
        </w:rPr>
        <w:t>C</w:t>
      </w:r>
      <w:r w:rsidRPr="00B63AE1">
        <w:rPr>
          <w:rFonts w:ascii="Courier New" w:hAnsi="Courier New" w:cs="Courier New"/>
        </w:rPr>
        <w:t xml:space="preserve">enters for medicare and medicaid services national coverage determinations or medicare administrative contractor local coverage determinations. </w:t>
      </w:r>
    </w:p>
    <w:p w14:paraId="653535C7" w14:textId="6E742D0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3.  </w:t>
      </w:r>
      <w:r w:rsidR="003E2843" w:rsidRPr="00B63AE1">
        <w:rPr>
          <w:rFonts w:ascii="Courier New" w:hAnsi="Courier New" w:cs="Courier New"/>
        </w:rPr>
        <w:t>N</w:t>
      </w:r>
      <w:r w:rsidRPr="00B63AE1">
        <w:rPr>
          <w:rFonts w:ascii="Courier New" w:hAnsi="Courier New" w:cs="Courier New"/>
        </w:rPr>
        <w:t xml:space="preserve">ationally </w:t>
      </w:r>
      <w:r w:rsidR="003E2843" w:rsidRPr="00B63AE1">
        <w:rPr>
          <w:rFonts w:ascii="Courier New" w:hAnsi="Courier New" w:cs="Courier New"/>
        </w:rPr>
        <w:t xml:space="preserve">recognized clinical practice </w:t>
      </w:r>
      <w:r w:rsidRPr="00B63AE1">
        <w:rPr>
          <w:rFonts w:ascii="Courier New" w:hAnsi="Courier New" w:cs="Courier New"/>
        </w:rPr>
        <w:t xml:space="preserve">guidelines and consensus statements. </w:t>
      </w:r>
    </w:p>
    <w:p w14:paraId="455CEE7B" w14:textId="53EAB6CB" w:rsidR="00FC6B44" w:rsidRPr="00B63AE1" w:rsidRDefault="003E2843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C</w:t>
      </w:r>
      <w:r w:rsidR="00FC6B44" w:rsidRPr="00B63AE1">
        <w:rPr>
          <w:rFonts w:ascii="Courier New" w:hAnsi="Courier New" w:cs="Courier New"/>
        </w:rPr>
        <w:t xml:space="preserve">.  A </w:t>
      </w:r>
      <w:r w:rsidRPr="00B63AE1">
        <w:rPr>
          <w:rFonts w:ascii="Courier New" w:hAnsi="Courier New" w:cs="Courier New"/>
        </w:rPr>
        <w:t xml:space="preserve">hospital service corporation or medical service corporation must ensure that coverage is provided in a manner that limits disruptions in care, including the need for multiple biopsies or biospecimen samples. </w:t>
      </w:r>
    </w:p>
    <w:p w14:paraId="1935C0B3" w14:textId="150F7156" w:rsidR="00FC6B44" w:rsidRPr="00B63AE1" w:rsidRDefault="003E2843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D</w:t>
      </w:r>
      <w:r w:rsidR="00FC6B44" w:rsidRPr="00B63AE1">
        <w:rPr>
          <w:rFonts w:ascii="Courier New" w:hAnsi="Courier New" w:cs="Courier New"/>
        </w:rPr>
        <w:t>.  </w:t>
      </w:r>
      <w:r w:rsidRPr="00B63AE1">
        <w:rPr>
          <w:rFonts w:ascii="Courier New" w:hAnsi="Courier New" w:cs="Courier New"/>
        </w:rPr>
        <w:t xml:space="preserve">The subscriber and prescribing practitioner must have access to a clear, readily accessible and convenient process to request an exception to a coverage policy of a hospital service corporation </w:t>
      </w:r>
      <w:r w:rsidR="00FC6B44" w:rsidRPr="00B63AE1">
        <w:rPr>
          <w:rFonts w:ascii="Courier New" w:hAnsi="Courier New" w:cs="Courier New"/>
        </w:rPr>
        <w:t xml:space="preserve">or medical service corporation.  </w:t>
      </w:r>
      <w:r w:rsidR="005E03A6" w:rsidRPr="00B63AE1">
        <w:rPr>
          <w:rFonts w:ascii="Courier New" w:hAnsi="Courier New" w:cs="Courier New"/>
        </w:rPr>
        <w:t>T</w:t>
      </w:r>
      <w:r w:rsidR="00FC6B44" w:rsidRPr="00B63AE1">
        <w:rPr>
          <w:rFonts w:ascii="Courier New" w:hAnsi="Courier New" w:cs="Courier New"/>
        </w:rPr>
        <w:t>he process shall be readily accessible on the hospital service corporation's or medical service corporation's website.  </w:t>
      </w:r>
      <w:r w:rsidR="005E03A6" w:rsidRPr="00B63AE1">
        <w:rPr>
          <w:rFonts w:ascii="Courier New" w:hAnsi="Courier New" w:cs="Courier New"/>
        </w:rPr>
        <w:t>T</w:t>
      </w:r>
      <w:r w:rsidR="00FC6B44" w:rsidRPr="00B63AE1">
        <w:rPr>
          <w:rFonts w:ascii="Courier New" w:hAnsi="Courier New" w:cs="Courier New"/>
        </w:rPr>
        <w:t>his subsection does not require a separate process if the hospital service corporation's or medical service corporation's existing process complies with this subsection.</w:t>
      </w:r>
    </w:p>
    <w:p w14:paraId="3E2E489A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E.  For the purposes of this section: </w:t>
      </w:r>
    </w:p>
    <w:p w14:paraId="10A410EB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1.  "Biomarker":</w:t>
      </w:r>
    </w:p>
    <w:p w14:paraId="0129BA1A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(a)  Means a characteristic that is objectively measured and evaluated as an indicator of normal biological processes, pathogenic processes or pharmacologic responses to a specific therapeutic intervention.  </w:t>
      </w:r>
    </w:p>
    <w:p w14:paraId="38D529CC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(b)  Includes gene mutations or protein expression. </w:t>
      </w:r>
    </w:p>
    <w:p w14:paraId="64B15358" w14:textId="3EFF95AD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2.  "Biomarker </w:t>
      </w:r>
      <w:r w:rsidR="003E2843" w:rsidRPr="00B63AE1">
        <w:rPr>
          <w:rFonts w:ascii="Courier New" w:hAnsi="Courier New" w:cs="Courier New"/>
        </w:rPr>
        <w:t>t</w:t>
      </w:r>
      <w:r w:rsidRPr="00B63AE1">
        <w:rPr>
          <w:rFonts w:ascii="Courier New" w:hAnsi="Courier New" w:cs="Courier New"/>
        </w:rPr>
        <w:t>esting":</w:t>
      </w:r>
    </w:p>
    <w:p w14:paraId="01D75347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(a)  Means the analysis of a patient's tissue, blood or other biospecimen for the presence of a biomarker.  </w:t>
      </w:r>
    </w:p>
    <w:p w14:paraId="654219B6" w14:textId="77777777" w:rsidR="00AD663C" w:rsidRPr="00B63AE1" w:rsidRDefault="00FC6B44" w:rsidP="00AD663C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(b)  Includes single</w:t>
      </w:r>
      <w:r w:rsidRPr="00B63AE1">
        <w:rPr>
          <w:rFonts w:ascii="Courier New" w:hAnsi="Courier New" w:cs="Courier New"/>
        </w:rPr>
        <w:noBreakHyphen/>
        <w:t>analyte tests, multiplex panel tests and whole genome sequencing.</w:t>
      </w:r>
    </w:p>
    <w:p w14:paraId="42C9F81C" w14:textId="69D681E5" w:rsidR="00FC6B44" w:rsidRPr="00B63AE1" w:rsidRDefault="00FC6B44" w:rsidP="00AD663C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3.  "</w:t>
      </w:r>
      <w:r w:rsidR="003E2843" w:rsidRPr="00B63AE1">
        <w:rPr>
          <w:rFonts w:ascii="Courier New" w:hAnsi="Courier New" w:cs="Courier New"/>
        </w:rPr>
        <w:t>Clinical utility" means the test result provides information that is used in the formulation of a treatment or monitoring strategy that informs a patient’s outcome and impacts the clinical decision. The most appropriate test may include both information that is actionable and some information that cannot be immediately used in the formulation of a clinical decision.</w:t>
      </w:r>
    </w:p>
    <w:p w14:paraId="59401BEB" w14:textId="1FF20342" w:rsidR="00FC6B44" w:rsidRPr="00B63AE1" w:rsidRDefault="00FC6B44" w:rsidP="00FC6B44">
      <w:pPr>
        <w:pStyle w:val="P06-00"/>
        <w:keepNext/>
        <w:keepLines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4.  "Consensus </w:t>
      </w:r>
      <w:r w:rsidR="003E2843" w:rsidRPr="00B63AE1">
        <w:rPr>
          <w:rFonts w:ascii="Courier New" w:hAnsi="Courier New" w:cs="Courier New"/>
        </w:rPr>
        <w:t>s</w:t>
      </w:r>
      <w:r w:rsidRPr="00B63AE1">
        <w:rPr>
          <w:rFonts w:ascii="Courier New" w:hAnsi="Courier New" w:cs="Courier New"/>
        </w:rPr>
        <w:t>tatements" means statements that:</w:t>
      </w:r>
    </w:p>
    <w:p w14:paraId="0B7BE6BB" w14:textId="77777777" w:rsidR="00FC6B44" w:rsidRPr="00B63AE1" w:rsidRDefault="00FC6B44" w:rsidP="00FC6B44">
      <w:pPr>
        <w:pStyle w:val="P06-00"/>
        <w:keepNext/>
        <w:keepLines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(a)  Are developed by an independent, multidisciplinary panel of experts using a transparent methodology and reporting structure that includes a conflict of interest policy.  </w:t>
      </w:r>
    </w:p>
    <w:p w14:paraId="2B4F5E0A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(b)  Are based on the best available evidence for the purpose of optimizing clinical care outcomes.</w:t>
      </w:r>
    </w:p>
    <w:p w14:paraId="1ED771C3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(c)  Are aimed at specific clinical circumstances. </w:t>
      </w:r>
    </w:p>
    <w:p w14:paraId="4A340E4C" w14:textId="4EC6DDF8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5.  "Nationally recognized clinical practice guidelines" means evidence-</w:t>
      </w:r>
      <w:r w:rsidR="003E2843" w:rsidRPr="00B63AE1">
        <w:rPr>
          <w:rFonts w:ascii="Courier New" w:hAnsi="Courier New" w:cs="Courier New"/>
        </w:rPr>
        <w:t xml:space="preserve">based clinical practice </w:t>
      </w:r>
      <w:r w:rsidRPr="00B63AE1">
        <w:rPr>
          <w:rFonts w:ascii="Courier New" w:hAnsi="Courier New" w:cs="Courier New"/>
        </w:rPr>
        <w:t>guidelines that both:</w:t>
      </w:r>
    </w:p>
    <w:p w14:paraId="4A1545E3" w14:textId="77777777" w:rsidR="00FC6B44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>(a)  Are developed by independent organizations or medical professional societies using a transparent methodology and reporting structure and a conflict of interest policy.</w:t>
      </w:r>
    </w:p>
    <w:p w14:paraId="49331AF5" w14:textId="2FECE56B" w:rsidR="00F540AD" w:rsidRPr="00B63AE1" w:rsidRDefault="00FC6B44" w:rsidP="00FC6B44">
      <w:pPr>
        <w:pStyle w:val="P06-00"/>
        <w:rPr>
          <w:rFonts w:ascii="Courier New" w:hAnsi="Courier New" w:cs="Courier New"/>
        </w:rPr>
      </w:pPr>
      <w:r w:rsidRPr="00B63AE1">
        <w:rPr>
          <w:rFonts w:ascii="Courier New" w:hAnsi="Courier New" w:cs="Courier New"/>
        </w:rPr>
        <w:t xml:space="preserve">(b)  Establish standards of care that are informed by a systematic review of evidence and an assessment of the benefits and costs of alternative care options that includes recommendations intended to optimize patient care. </w:t>
      </w:r>
      <w:r w:rsidRPr="00B63AE1">
        <w:rPr>
          <w:rFonts w:ascii="Courier New" w:hAnsi="Courier New" w:cs="Courier New"/>
        </w:rPr>
        <w:fldChar w:fldCharType="begin"/>
      </w:r>
      <w:r w:rsidRPr="00B63AE1">
        <w:rPr>
          <w:rFonts w:ascii="Courier New" w:hAnsi="Courier New" w:cs="Courier New"/>
        </w:rPr>
        <w:instrText xml:space="preserve"> COMMENTS END_STATUTE \* MERGEFORMAT </w:instrText>
      </w:r>
      <w:r w:rsidRPr="00B63AE1">
        <w:rPr>
          <w:rFonts w:ascii="Courier New" w:hAnsi="Courier New" w:cs="Courier New"/>
        </w:rPr>
        <w:fldChar w:fldCharType="separate"/>
      </w:r>
      <w:r w:rsidRPr="00B63AE1">
        <w:rPr>
          <w:rFonts w:ascii="Courier New" w:hAnsi="Courier New" w:cs="Courier New"/>
          <w:vanish/>
        </w:rPr>
        <w:t>END_STATUTE</w:t>
      </w:r>
      <w:r w:rsidRPr="00B63AE1">
        <w:rPr>
          <w:rFonts w:ascii="Courier New" w:hAnsi="Courier New" w:cs="Courier New"/>
        </w:rPr>
        <w:fldChar w:fldCharType="end"/>
      </w:r>
    </w:p>
    <w:sectPr w:rsidR="00F540AD" w:rsidRPr="00B63AE1" w:rsidSect="00FC6B44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C2323" w14:textId="77777777" w:rsidR="00FC6B44" w:rsidRDefault="00FC6B44">
      <w:r>
        <w:separator/>
      </w:r>
    </w:p>
  </w:endnote>
  <w:endnote w:type="continuationSeparator" w:id="0">
    <w:p w14:paraId="42F43036" w14:textId="77777777" w:rsidR="00FC6B44" w:rsidRDefault="00FC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5A67" w14:textId="77777777" w:rsidR="00FC6B44" w:rsidRDefault="00FC6B44">
      <w:r>
        <w:separator/>
      </w:r>
    </w:p>
  </w:footnote>
  <w:footnote w:type="continuationSeparator" w:id="0">
    <w:p w14:paraId="1134D1DD" w14:textId="77777777" w:rsidR="00FC6B44" w:rsidRDefault="00FC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11291140">
    <w:abstractNumId w:val="8"/>
  </w:num>
  <w:num w:numId="2" w16cid:durableId="821045953">
    <w:abstractNumId w:val="8"/>
  </w:num>
  <w:num w:numId="3" w16cid:durableId="2068991902">
    <w:abstractNumId w:val="7"/>
  </w:num>
  <w:num w:numId="4" w16cid:durableId="985360295">
    <w:abstractNumId w:val="7"/>
  </w:num>
  <w:num w:numId="5" w16cid:durableId="319963198">
    <w:abstractNumId w:val="10"/>
  </w:num>
  <w:num w:numId="6" w16cid:durableId="697776926">
    <w:abstractNumId w:val="11"/>
  </w:num>
  <w:num w:numId="7" w16cid:durableId="247689463">
    <w:abstractNumId w:val="12"/>
  </w:num>
  <w:num w:numId="8" w16cid:durableId="809830951">
    <w:abstractNumId w:val="9"/>
  </w:num>
  <w:num w:numId="9" w16cid:durableId="1268468250">
    <w:abstractNumId w:val="6"/>
  </w:num>
  <w:num w:numId="10" w16cid:durableId="466776462">
    <w:abstractNumId w:val="5"/>
  </w:num>
  <w:num w:numId="11" w16cid:durableId="245498990">
    <w:abstractNumId w:val="4"/>
  </w:num>
  <w:num w:numId="12" w16cid:durableId="555823256">
    <w:abstractNumId w:val="3"/>
  </w:num>
  <w:num w:numId="13" w16cid:durableId="1754889991">
    <w:abstractNumId w:val="2"/>
  </w:num>
  <w:num w:numId="14" w16cid:durableId="1741059115">
    <w:abstractNumId w:val="1"/>
  </w:num>
  <w:num w:numId="15" w16cid:durableId="5083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44"/>
    <w:rsid w:val="00010503"/>
    <w:rsid w:val="00033AE7"/>
    <w:rsid w:val="003E2843"/>
    <w:rsid w:val="005E03A6"/>
    <w:rsid w:val="00AD663C"/>
    <w:rsid w:val="00B63AE1"/>
    <w:rsid w:val="00E41B6D"/>
    <w:rsid w:val="00E623A6"/>
    <w:rsid w:val="00F540AD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4022E"/>
  <w15:chartTrackingRefBased/>
  <w15:docId w15:val="{44C2BF95-3E5E-402F-AE71-8103DAB3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C6B44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FC6B44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70DC-9D66-4412-A874-B4CF9687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524</Words>
  <Characters>3167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20-841.13; Biomarker testing; coverage; definitions</dc:title>
  <dc:subject>Biomarker testing; coverage; definitions</dc:subject>
  <dc:creator>Arizona Legislative Council</dc:creator>
  <cp:keywords/>
  <dc:description>0219.docx - 552R - 2022</dc:description>
  <cp:lastModifiedBy>dbupdate</cp:lastModifiedBy>
  <cp:revision>2</cp:revision>
  <cp:lastPrinted>2022-08-23T19:55:00Z</cp:lastPrinted>
  <dcterms:created xsi:type="dcterms:W3CDTF">2025-09-20T09:33:00Z</dcterms:created>
  <dcterms:modified xsi:type="dcterms:W3CDTF">2025-09-20T09:33:00Z</dcterms:modified>
</cp:coreProperties>
</file>