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EDE50" w14:textId="77777777" w:rsidR="00C760CC" w:rsidRPr="00C760CC" w:rsidRDefault="00C760CC">
      <w:pPr>
        <w:pStyle w:val="SEC06-17"/>
        <w:rPr>
          <w:rFonts w:ascii="Courier New" w:hAnsi="Courier New"/>
        </w:rPr>
      </w:pPr>
      <w:r w:rsidRPr="00C760CC">
        <w:rPr>
          <w:rFonts w:ascii="Courier New" w:hAnsi="Courier New"/>
          <w:vanish/>
        </w:rPr>
        <w:fldChar w:fldCharType="begin"/>
      </w:r>
      <w:r w:rsidRPr="00C760CC">
        <w:rPr>
          <w:rFonts w:ascii="Courier New" w:hAnsi="Courier New"/>
          <w:vanish/>
        </w:rPr>
        <w:instrText xml:space="preserve"> COMMENTS START_STATUTE \* MERGEFORMAT </w:instrText>
      </w:r>
      <w:r w:rsidRPr="00C760CC">
        <w:rPr>
          <w:rFonts w:ascii="Courier New" w:hAnsi="Courier New"/>
          <w:vanish/>
        </w:rPr>
        <w:fldChar w:fldCharType="separate"/>
      </w:r>
      <w:r w:rsidRPr="00C760CC">
        <w:rPr>
          <w:rFonts w:ascii="Courier New" w:hAnsi="Courier New"/>
          <w:vanish/>
        </w:rPr>
        <w:t>START_STATUTE</w:t>
      </w:r>
      <w:r w:rsidRPr="00C760CC">
        <w:rPr>
          <w:rFonts w:ascii="Courier New" w:hAnsi="Courier New"/>
          <w:vanish/>
        </w:rPr>
        <w:fldChar w:fldCharType="end"/>
      </w:r>
      <w:r w:rsidRPr="00C760CC">
        <w:rPr>
          <w:rStyle w:val="SNUM"/>
          <w:rFonts w:ascii="Courier New" w:hAnsi="Courier New"/>
        </w:rPr>
        <w:t>20-382</w:t>
      </w:r>
      <w:r w:rsidRPr="00C760CC">
        <w:rPr>
          <w:rFonts w:ascii="Courier New" w:hAnsi="Courier New"/>
        </w:rPr>
        <w:t>.  </w:t>
      </w:r>
      <w:r w:rsidRPr="00C760CC">
        <w:rPr>
          <w:rStyle w:val="SECHEAD"/>
          <w:rFonts w:ascii="Courier New" w:hAnsi="Courier New"/>
        </w:rPr>
        <w:t>Scope of application</w:t>
      </w:r>
    </w:p>
    <w:p w14:paraId="5A736C6A" w14:textId="77777777" w:rsidR="00C760CC" w:rsidRPr="00C760CC" w:rsidRDefault="00C760CC">
      <w:pPr>
        <w:pStyle w:val="P06-00"/>
        <w:rPr>
          <w:rFonts w:ascii="Courier New" w:hAnsi="Courier New"/>
        </w:rPr>
      </w:pPr>
      <w:r w:rsidRPr="00C760CC">
        <w:rPr>
          <w:rFonts w:ascii="Courier New" w:hAnsi="Courier New"/>
        </w:rPr>
        <w:t>A.  This article applies to all insurance on risks or on operations in this state, except:</w:t>
      </w:r>
    </w:p>
    <w:p w14:paraId="1913180B" w14:textId="77777777" w:rsidR="00C760CC" w:rsidRPr="00C760CC" w:rsidRDefault="00C760CC">
      <w:pPr>
        <w:pStyle w:val="P06-00"/>
        <w:rPr>
          <w:rFonts w:ascii="Courier New" w:hAnsi="Courier New"/>
        </w:rPr>
      </w:pPr>
      <w:r w:rsidRPr="00C760CC">
        <w:rPr>
          <w:rFonts w:ascii="Courier New" w:hAnsi="Courier New"/>
        </w:rPr>
        <w:t>1.  Reinsurance, other than joint reinsurance to the extent stated in section 20</w:t>
      </w:r>
      <w:r w:rsidRPr="00C760CC">
        <w:rPr>
          <w:rFonts w:ascii="Courier New" w:hAnsi="Courier New"/>
        </w:rPr>
        <w:noBreakHyphen/>
        <w:t>391.</w:t>
      </w:r>
    </w:p>
    <w:p w14:paraId="0C8E294D" w14:textId="77777777" w:rsidR="00C760CC" w:rsidRPr="00C760CC" w:rsidRDefault="00C760CC">
      <w:pPr>
        <w:pStyle w:val="P06-00"/>
        <w:rPr>
          <w:rFonts w:ascii="Courier New" w:hAnsi="Courier New"/>
        </w:rPr>
      </w:pPr>
      <w:r w:rsidRPr="00C760CC">
        <w:rPr>
          <w:rFonts w:ascii="Courier New" w:hAnsi="Courier New"/>
        </w:rPr>
        <w:t>2.  Any policy of insurance against loss or damage to or legal liability in connection with property located outside this state, any motor vehicle or aircraft principally garaged and used outside this state or any activity wholly carried on outside this state.</w:t>
      </w:r>
    </w:p>
    <w:p w14:paraId="44D33781" w14:textId="77777777" w:rsidR="00C760CC" w:rsidRPr="00C760CC" w:rsidRDefault="00C760CC">
      <w:pPr>
        <w:pStyle w:val="P06-00"/>
        <w:rPr>
          <w:rFonts w:ascii="Courier New" w:hAnsi="Courier New"/>
        </w:rPr>
      </w:pPr>
      <w:r w:rsidRPr="00C760CC">
        <w:rPr>
          <w:rFonts w:ascii="Courier New" w:hAnsi="Courier New"/>
        </w:rPr>
        <w:t>3.  Insurance of vessels or craft, their cargoes, marine builders' risks, marine protection and indemnity or other risks commonly insured under marine, as distinguished from inland marine, insurance policies.</w:t>
      </w:r>
    </w:p>
    <w:p w14:paraId="7605231B" w14:textId="77777777" w:rsidR="00C760CC" w:rsidRPr="00C760CC" w:rsidRDefault="00C760CC">
      <w:pPr>
        <w:pStyle w:val="P06-00"/>
        <w:rPr>
          <w:rFonts w:ascii="Courier New" w:hAnsi="Courier New"/>
        </w:rPr>
      </w:pPr>
      <w:r w:rsidRPr="00C760CC">
        <w:rPr>
          <w:rFonts w:ascii="Courier New" w:hAnsi="Courier New"/>
        </w:rPr>
        <w:t>4.  Disability or life insurance.</w:t>
      </w:r>
    </w:p>
    <w:p w14:paraId="3E20BB72" w14:textId="77777777" w:rsidR="00C760CC" w:rsidRPr="00C760CC" w:rsidRDefault="00C760CC">
      <w:pPr>
        <w:pStyle w:val="P06-00"/>
        <w:rPr>
          <w:rFonts w:ascii="Courier New" w:hAnsi="Courier New"/>
        </w:rPr>
      </w:pPr>
      <w:r w:rsidRPr="00C760CC">
        <w:rPr>
          <w:rFonts w:ascii="Courier New" w:hAnsi="Courier New"/>
        </w:rPr>
        <w:t>5.  Annuities.</w:t>
      </w:r>
    </w:p>
    <w:p w14:paraId="08C3C8FA" w14:textId="77777777" w:rsidR="00C760CC" w:rsidRPr="00C760CC" w:rsidRDefault="00C760CC">
      <w:pPr>
        <w:pStyle w:val="P06-00"/>
        <w:rPr>
          <w:rFonts w:ascii="Courier New" w:hAnsi="Courier New"/>
        </w:rPr>
      </w:pPr>
      <w:r w:rsidRPr="00C760CC">
        <w:rPr>
          <w:rFonts w:ascii="Courier New" w:hAnsi="Courier New"/>
        </w:rPr>
        <w:t>6.  Workers' compensation and employers' liability insurance written in connection with workers' compensation.</w:t>
      </w:r>
    </w:p>
    <w:p w14:paraId="5A01DA03" w14:textId="77777777" w:rsidR="00C760CC" w:rsidRPr="00C760CC" w:rsidRDefault="00C760CC">
      <w:pPr>
        <w:pStyle w:val="P06-00"/>
        <w:rPr>
          <w:rFonts w:ascii="Courier New" w:hAnsi="Courier New"/>
        </w:rPr>
      </w:pPr>
      <w:r w:rsidRPr="00C760CC">
        <w:rPr>
          <w:rFonts w:ascii="Courier New" w:hAnsi="Courier New"/>
        </w:rPr>
        <w:t>7.  Title insurance.</w:t>
      </w:r>
    </w:p>
    <w:p w14:paraId="141591F7" w14:textId="77777777" w:rsidR="00C760CC" w:rsidRPr="00C760CC" w:rsidRDefault="00C760CC">
      <w:pPr>
        <w:pStyle w:val="P06-00"/>
        <w:rPr>
          <w:rFonts w:ascii="Courier New" w:hAnsi="Courier New"/>
        </w:rPr>
      </w:pPr>
      <w:r w:rsidRPr="00C760CC">
        <w:rPr>
          <w:rFonts w:ascii="Courier New" w:hAnsi="Courier New"/>
        </w:rPr>
        <w:t>8.  Rates developed by an insurer to be applied individually to the insurance policies of risks, other than medical malpractice risks and industrial insured risks pursuant to section 20</w:t>
      </w:r>
      <w:r w:rsidRPr="00C760CC">
        <w:rPr>
          <w:rFonts w:ascii="Courier New" w:hAnsi="Courier New"/>
        </w:rPr>
        <w:noBreakHyphen/>
        <w:t>400.10, for which no rate service organization has published a rate or loss costs in this or any other state and for which insufficient similar exposure units and loss experience data exist to develop statistically credible rates for the risk and no homogeneous rating class exists in which the risk could reasonably be placed.  With respect to each type of risk covered by this subsection, the insurer shall annually certify by January 30 to the director for the preceding calendar year, on a form acceptable t</w:t>
      </w:r>
      <w:r w:rsidRPr="00C760CC">
        <w:rPr>
          <w:rFonts w:ascii="Courier New" w:hAnsi="Courier New"/>
        </w:rPr>
        <w:t>o the director, that the insurer did not have when the risks were written credible experience to establish a rating class for the specific types of risks.  The insurer or rate service organization on the insurer's behalf shall file a rate for the specific risks with the director pursuant to section 20</w:t>
      </w:r>
      <w:r w:rsidRPr="00C760CC">
        <w:rPr>
          <w:rFonts w:ascii="Courier New" w:hAnsi="Courier New"/>
        </w:rPr>
        <w:noBreakHyphen/>
        <w:t>385 when either of the following occurs:</w:t>
      </w:r>
    </w:p>
    <w:p w14:paraId="1A8D6149" w14:textId="77777777" w:rsidR="00C760CC" w:rsidRPr="00C760CC" w:rsidRDefault="00C760CC">
      <w:pPr>
        <w:pStyle w:val="P06-00"/>
        <w:rPr>
          <w:rFonts w:ascii="Courier New" w:hAnsi="Courier New"/>
        </w:rPr>
      </w:pPr>
      <w:r w:rsidRPr="00C760CC">
        <w:rPr>
          <w:rFonts w:ascii="Courier New" w:hAnsi="Courier New"/>
        </w:rPr>
        <w:t>(a)  The insurer's written premiums for any specific risk covered by this subsection exceed twenty</w:t>
      </w:r>
      <w:r w:rsidRPr="00C760CC">
        <w:rPr>
          <w:rFonts w:ascii="Courier New" w:hAnsi="Courier New"/>
        </w:rPr>
        <w:noBreakHyphen/>
        <w:t>five per cent of the insurer's total annual written premium in this state and the insurer has issued contracts for five or more homogeneous risks covered by this subsection in this state in any consecutive three year period, unless an insurer demonstrates to the director that its experience under this subsection does not produce sufficient data to satisfy the requirements of subdivision (b) of this paragraph.</w:t>
      </w:r>
    </w:p>
    <w:p w14:paraId="3CD9FBF8" w14:textId="77777777" w:rsidR="00C760CC" w:rsidRPr="00C760CC" w:rsidRDefault="00C760CC">
      <w:pPr>
        <w:pStyle w:val="P06-00"/>
        <w:rPr>
          <w:rFonts w:ascii="Courier New" w:hAnsi="Courier New"/>
        </w:rPr>
      </w:pPr>
      <w:r w:rsidRPr="00C760CC">
        <w:rPr>
          <w:rFonts w:ascii="Courier New" w:hAnsi="Courier New"/>
        </w:rPr>
        <w:t>(b)  The number of specific risks covered by this subsection and written by the insurer in a speci</w:t>
      </w:r>
      <w:r w:rsidRPr="00C760CC">
        <w:rPr>
          <w:rFonts w:ascii="Courier New" w:hAnsi="Courier New"/>
        </w:rPr>
        <w:t>fic class meet the standards set forth in the actuarial standard of practice 25 applying to credibility for rate making purposes as adopted by the actuarial standards board as of January 1, 1997.</w:t>
      </w:r>
    </w:p>
    <w:p w14:paraId="11A439C1" w14:textId="77777777" w:rsidR="00C760CC" w:rsidRPr="00C760CC" w:rsidRDefault="00C760CC">
      <w:pPr>
        <w:pStyle w:val="P06-00"/>
        <w:rPr>
          <w:rFonts w:ascii="Courier New" w:hAnsi="Courier New"/>
        </w:rPr>
      </w:pPr>
      <w:r w:rsidRPr="00C760CC">
        <w:rPr>
          <w:rFonts w:ascii="Courier New" w:hAnsi="Courier New"/>
        </w:rPr>
        <w:t xml:space="preserve">B.  This article does not apply to hospital service or medical service corporations, investment companies, mutual benefit associations or fraternal beneficiary </w:t>
      </w:r>
      <w:proofErr w:type="spellStart"/>
      <w:r w:rsidRPr="00C760CC">
        <w:rPr>
          <w:rFonts w:ascii="Courier New" w:hAnsi="Courier New"/>
        </w:rPr>
        <w:t>associations.</w:t>
      </w:r>
      <w:r w:rsidRPr="00C760CC">
        <w:rPr>
          <w:rFonts w:ascii="Courier New" w:hAnsi="Courier New"/>
          <w:vanish/>
        </w:rPr>
        <w:fldChar w:fldCharType="begin"/>
      </w:r>
      <w:r w:rsidRPr="00C760CC">
        <w:rPr>
          <w:rFonts w:ascii="Courier New" w:hAnsi="Courier New"/>
          <w:vanish/>
        </w:rPr>
        <w:instrText xml:space="preserve"> COMMENTS END_STATUTE \* MERGEFORMAT </w:instrText>
      </w:r>
      <w:r w:rsidRPr="00C760CC">
        <w:rPr>
          <w:rFonts w:ascii="Courier New" w:hAnsi="Courier New"/>
          <w:vanish/>
        </w:rPr>
        <w:fldChar w:fldCharType="separate"/>
      </w:r>
      <w:r w:rsidRPr="00C760CC">
        <w:rPr>
          <w:rFonts w:ascii="Courier New" w:hAnsi="Courier New"/>
          <w:vanish/>
        </w:rPr>
        <w:t>END_STATUTE</w:t>
      </w:r>
      <w:proofErr w:type="spellEnd"/>
      <w:r w:rsidRPr="00C760CC">
        <w:rPr>
          <w:rFonts w:ascii="Courier New" w:hAnsi="Courier New"/>
          <w:vanish/>
        </w:rPr>
        <w:fldChar w:fldCharType="end"/>
      </w:r>
    </w:p>
    <w:sectPr w:rsidR="00000000" w:rsidRPr="00C760CC">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268C0" w14:textId="77777777" w:rsidR="00C760CC" w:rsidRDefault="00C760CC">
      <w:r>
        <w:separator/>
      </w:r>
    </w:p>
  </w:endnote>
  <w:endnote w:type="continuationSeparator" w:id="0">
    <w:p w14:paraId="65329403" w14:textId="77777777" w:rsidR="00C760CC" w:rsidRDefault="00C76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860BA" w14:textId="77777777" w:rsidR="00C760CC" w:rsidRDefault="00C760CC">
      <w:r>
        <w:separator/>
      </w:r>
    </w:p>
  </w:footnote>
  <w:footnote w:type="continuationSeparator" w:id="0">
    <w:p w14:paraId="514A74B8" w14:textId="77777777" w:rsidR="00C760CC" w:rsidRDefault="00C76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652518598">
    <w:abstractNumId w:val="1"/>
  </w:num>
  <w:num w:numId="2" w16cid:durableId="1929145104">
    <w:abstractNumId w:val="1"/>
  </w:num>
  <w:num w:numId="3" w16cid:durableId="299043214">
    <w:abstractNumId w:val="0"/>
  </w:num>
  <w:num w:numId="4" w16cid:durableId="1350334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CC"/>
    <w:rsid w:val="00C7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BF4F8"/>
  <w15:chartTrackingRefBased/>
  <w15:docId w15:val="{EF149115-593E-4520-82DA-4E892BAE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469</Words>
  <Characters>2516</Characters>
  <Application>Microsoft Office Word</Application>
  <DocSecurity>0</DocSecurity>
  <Lines>48</Lines>
  <Paragraphs>16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20-382; Scope of application</dc:title>
  <dc:subject>Scope of application</dc:subject>
  <dc:creator>Arizona Legislative Council</dc:creator>
  <cp:keywords/>
  <dc:description>END_STATUTE</dc:description>
  <cp:lastModifiedBy>dbupdate</cp:lastModifiedBy>
  <cp:revision>2</cp:revision>
  <cp:lastPrinted>1601-01-01T00:00:00Z</cp:lastPrinted>
  <dcterms:created xsi:type="dcterms:W3CDTF">2025-09-20T08:37:00Z</dcterms:created>
  <dcterms:modified xsi:type="dcterms:W3CDTF">2025-09-20T08:37:00Z</dcterms:modified>
</cp:coreProperties>
</file>