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1CD2" w14:textId="77777777" w:rsidR="00323DB4" w:rsidRPr="00EF6B74" w:rsidRDefault="00FA44B6">
      <w:pPr>
        <w:pStyle w:val="SEC06-18"/>
        <w:rPr>
          <w:rFonts w:ascii="Courier New" w:hAnsi="Courier New"/>
          <w:noProof w:val="0"/>
        </w:rPr>
      </w:pPr>
      <w:r w:rsidRPr="00EF6B74">
        <w:rPr>
          <w:rFonts w:ascii="Courier New" w:hAnsi="Courier New"/>
          <w:vanish/>
        </w:rPr>
        <w:fldChar w:fldCharType="begin"/>
      </w:r>
      <w:r w:rsidRPr="00EF6B74">
        <w:rPr>
          <w:rFonts w:ascii="Courier New" w:hAnsi="Courier New"/>
          <w:vanish/>
        </w:rPr>
        <w:instrText xml:space="preserve"> COMMENTS START_STATUTE \* MERGEFORMAT </w:instrText>
      </w:r>
      <w:r w:rsidRPr="00EF6B74">
        <w:rPr>
          <w:rFonts w:ascii="Courier New" w:hAnsi="Courier New"/>
          <w:vanish/>
        </w:rPr>
        <w:fldChar w:fldCharType="separate"/>
      </w:r>
      <w:r w:rsidRPr="00EF6B74">
        <w:rPr>
          <w:rFonts w:ascii="Courier New" w:hAnsi="Courier New"/>
          <w:vanish/>
        </w:rPr>
        <w:t>START_STATUTE</w:t>
      </w:r>
      <w:r w:rsidRPr="00EF6B74">
        <w:rPr>
          <w:rFonts w:ascii="Courier New" w:hAnsi="Courier New"/>
          <w:vanish/>
        </w:rPr>
        <w:fldChar w:fldCharType="end"/>
      </w:r>
      <w:r w:rsidR="00323DB4" w:rsidRPr="00EF6B74">
        <w:rPr>
          <w:rStyle w:val="SNUM"/>
          <w:rFonts w:ascii="Courier New" w:hAnsi="Courier New"/>
          <w:noProof w:val="0"/>
        </w:rPr>
        <w:t>15-1303</w:t>
      </w:r>
      <w:r w:rsidR="00323DB4" w:rsidRPr="00EF6B74">
        <w:rPr>
          <w:rFonts w:ascii="Courier New" w:hAnsi="Courier New"/>
          <w:noProof w:val="0"/>
        </w:rPr>
        <w:t>.  </w:t>
      </w:r>
      <w:r w:rsidR="00323DB4" w:rsidRPr="00EF6B74">
        <w:rPr>
          <w:rStyle w:val="SECHEAD"/>
          <w:rFonts w:ascii="Courier New" w:hAnsi="Courier New"/>
          <w:noProof w:val="0"/>
        </w:rPr>
        <w:t>School for the deaf and the blind as public corporation; tax exemption</w:t>
      </w:r>
    </w:p>
    <w:p w14:paraId="111FAF95" w14:textId="77777777" w:rsidR="00323DB4" w:rsidRPr="00EF6B74" w:rsidRDefault="00323DB4">
      <w:pPr>
        <w:pStyle w:val="P06-00"/>
        <w:rPr>
          <w:rFonts w:ascii="Courier New" w:hAnsi="Courier New"/>
          <w:noProof w:val="0"/>
        </w:rPr>
      </w:pPr>
      <w:r w:rsidRPr="00EF6B74">
        <w:rPr>
          <w:rFonts w:ascii="Courier New" w:hAnsi="Courier New"/>
          <w:noProof w:val="0"/>
        </w:rPr>
        <w:t>A.  The school shall be a body corporate under the name of "the Arizona state school for the deaf and the blind".</w:t>
      </w:r>
    </w:p>
    <w:p w14:paraId="079FB462" w14:textId="77777777" w:rsidR="00323DB4" w:rsidRPr="00EF6B74" w:rsidRDefault="00323DB4">
      <w:pPr>
        <w:pStyle w:val="P06-00"/>
        <w:rPr>
          <w:rFonts w:ascii="Courier New" w:hAnsi="Courier New"/>
          <w:noProof w:val="0"/>
        </w:rPr>
      </w:pPr>
      <w:r w:rsidRPr="00EF6B74">
        <w:rPr>
          <w:rFonts w:ascii="Courier New" w:hAnsi="Courier New"/>
          <w:noProof w:val="0"/>
        </w:rPr>
        <w:t>B.  The corporation shall:</w:t>
      </w:r>
    </w:p>
    <w:p w14:paraId="14D7D17F" w14:textId="77777777" w:rsidR="00323DB4" w:rsidRPr="00EF6B74" w:rsidRDefault="00323DB4">
      <w:pPr>
        <w:pStyle w:val="P06-00"/>
        <w:rPr>
          <w:rFonts w:ascii="Courier New" w:hAnsi="Courier New"/>
          <w:noProof w:val="0"/>
        </w:rPr>
      </w:pPr>
      <w:r w:rsidRPr="00EF6B74">
        <w:rPr>
          <w:rFonts w:ascii="Courier New" w:hAnsi="Courier New"/>
          <w:noProof w:val="0"/>
        </w:rPr>
        <w:t>1.  Have perpetual succession.</w:t>
      </w:r>
    </w:p>
    <w:p w14:paraId="368CA9F6" w14:textId="77777777" w:rsidR="00323DB4" w:rsidRPr="00EF6B74" w:rsidRDefault="00323DB4">
      <w:pPr>
        <w:pStyle w:val="P06-00"/>
        <w:rPr>
          <w:rFonts w:ascii="Courier New" w:hAnsi="Courier New"/>
          <w:noProof w:val="0"/>
        </w:rPr>
      </w:pPr>
      <w:r w:rsidRPr="00EF6B74">
        <w:rPr>
          <w:rFonts w:ascii="Courier New" w:hAnsi="Courier New"/>
          <w:noProof w:val="0"/>
        </w:rPr>
        <w:t>2.  Have a corporate seal.</w:t>
      </w:r>
    </w:p>
    <w:p w14:paraId="4D611E61" w14:textId="77777777" w:rsidR="00323DB4" w:rsidRPr="00EF6B74" w:rsidRDefault="00323DB4">
      <w:pPr>
        <w:pStyle w:val="P06-00"/>
        <w:rPr>
          <w:rFonts w:ascii="Courier New" w:hAnsi="Courier New"/>
          <w:noProof w:val="0"/>
        </w:rPr>
      </w:pPr>
      <w:r w:rsidRPr="00EF6B74">
        <w:rPr>
          <w:rFonts w:ascii="Courier New" w:hAnsi="Courier New"/>
          <w:noProof w:val="0"/>
        </w:rPr>
        <w:t>3.  Be deemed a public corporation and its property shall be exempt from all taxes and assessments.</w:t>
      </w:r>
    </w:p>
    <w:p w14:paraId="21D74B2D" w14:textId="77777777" w:rsidR="00323DB4" w:rsidRPr="00EF6B74" w:rsidRDefault="00323DB4">
      <w:pPr>
        <w:pStyle w:val="P06-00"/>
        <w:rPr>
          <w:rFonts w:ascii="Courier New" w:hAnsi="Courier New"/>
          <w:noProof w:val="0"/>
        </w:rPr>
      </w:pPr>
      <w:r w:rsidRPr="00EF6B74">
        <w:rPr>
          <w:rFonts w:ascii="Courier New" w:hAnsi="Courier New"/>
          <w:noProof w:val="0"/>
        </w:rPr>
        <w:t>C.  The corporation may, in the corporate name:</w:t>
      </w:r>
    </w:p>
    <w:p w14:paraId="5B6BD251" w14:textId="77777777" w:rsidR="00323DB4" w:rsidRPr="00EF6B74" w:rsidRDefault="00323DB4">
      <w:pPr>
        <w:pStyle w:val="P06-00"/>
        <w:rPr>
          <w:rFonts w:ascii="Courier New" w:hAnsi="Courier New"/>
          <w:noProof w:val="0"/>
        </w:rPr>
      </w:pPr>
      <w:r w:rsidRPr="00EF6B74">
        <w:rPr>
          <w:rFonts w:ascii="Courier New" w:hAnsi="Courier New"/>
          <w:noProof w:val="0"/>
        </w:rPr>
        <w:t>1.  Sue and be sued.</w:t>
      </w:r>
    </w:p>
    <w:p w14:paraId="52704684" w14:textId="77777777" w:rsidR="00323DB4" w:rsidRPr="00EF6B74" w:rsidRDefault="00323DB4">
      <w:pPr>
        <w:pStyle w:val="P06-00"/>
        <w:rPr>
          <w:rFonts w:ascii="Courier New" w:hAnsi="Courier New"/>
          <w:noProof w:val="0"/>
        </w:rPr>
      </w:pPr>
      <w:r w:rsidRPr="00EF6B74">
        <w:rPr>
          <w:rFonts w:ascii="Courier New" w:hAnsi="Courier New"/>
          <w:noProof w:val="0"/>
        </w:rPr>
        <w:t>2.  Contract and be contracted with.</w:t>
      </w:r>
    </w:p>
    <w:p w14:paraId="384E0EAB" w14:textId="77777777" w:rsidR="00323DB4" w:rsidRPr="00EF6B74" w:rsidRDefault="00323DB4">
      <w:pPr>
        <w:pStyle w:val="P06-00"/>
        <w:rPr>
          <w:rFonts w:ascii="Courier New" w:hAnsi="Courier New"/>
          <w:noProof w:val="0"/>
        </w:rPr>
      </w:pPr>
      <w:r w:rsidRPr="00EF6B74">
        <w:rPr>
          <w:rFonts w:ascii="Courier New" w:hAnsi="Courier New"/>
          <w:noProof w:val="0"/>
        </w:rPr>
        <w:t>3.  Take and hold by purchase, gift or devise real and personal property required for its use.</w:t>
      </w:r>
    </w:p>
    <w:p w14:paraId="2595925C" w14:textId="77777777" w:rsidR="00323DB4" w:rsidRPr="00EF6B74" w:rsidRDefault="00323DB4">
      <w:pPr>
        <w:pStyle w:val="P06-00"/>
        <w:rPr>
          <w:rFonts w:ascii="Courier New" w:hAnsi="Courier New"/>
          <w:noProof w:val="0"/>
        </w:rPr>
      </w:pPr>
      <w:r w:rsidRPr="00EF6B74">
        <w:rPr>
          <w:rFonts w:ascii="Courier New" w:hAnsi="Courier New"/>
          <w:noProof w:val="0"/>
        </w:rPr>
        <w:t xml:space="preserve">4.  Convert property received by gift, purchase or devise which is not suitable for its use into money or property which is suitable for its use. </w:t>
      </w:r>
      <w:r w:rsidR="00FA44B6" w:rsidRPr="00EF6B74">
        <w:rPr>
          <w:rFonts w:ascii="Courier New" w:hAnsi="Courier New"/>
          <w:vanish/>
        </w:rPr>
        <w:fldChar w:fldCharType="begin"/>
      </w:r>
      <w:r w:rsidR="00FA44B6" w:rsidRPr="00EF6B74">
        <w:rPr>
          <w:rFonts w:ascii="Courier New" w:hAnsi="Courier New"/>
          <w:vanish/>
        </w:rPr>
        <w:instrText xml:space="preserve"> COMMENTS END_STATUTE \* MERGEFORMAT </w:instrText>
      </w:r>
      <w:r w:rsidR="00FA44B6" w:rsidRPr="00EF6B74">
        <w:rPr>
          <w:rFonts w:ascii="Courier New" w:hAnsi="Courier New"/>
          <w:vanish/>
        </w:rPr>
        <w:fldChar w:fldCharType="separate"/>
      </w:r>
      <w:r w:rsidR="00FA44B6" w:rsidRPr="00EF6B74">
        <w:rPr>
          <w:rFonts w:ascii="Courier New" w:hAnsi="Courier New"/>
          <w:vanish/>
        </w:rPr>
        <w:t>END_STATUTE</w:t>
      </w:r>
      <w:r w:rsidR="00FA44B6" w:rsidRPr="00EF6B74">
        <w:rPr>
          <w:rFonts w:ascii="Courier New" w:hAnsi="Courier New"/>
          <w:vanish/>
        </w:rPr>
        <w:fldChar w:fldCharType="end"/>
      </w:r>
    </w:p>
    <w:sectPr w:rsidR="00323DB4" w:rsidRPr="00EF6B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AAA5" w14:textId="77777777" w:rsidR="00323DB4" w:rsidRDefault="00323DB4">
      <w:r>
        <w:separator/>
      </w:r>
    </w:p>
  </w:endnote>
  <w:endnote w:type="continuationSeparator" w:id="0">
    <w:p w14:paraId="60385B7E" w14:textId="77777777" w:rsidR="00323DB4" w:rsidRDefault="0032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20E4" w14:textId="77777777" w:rsidR="00323DB4" w:rsidRDefault="00323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6840" w14:textId="77777777" w:rsidR="00323DB4" w:rsidRDefault="00323DB4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E3F6" w14:textId="77777777" w:rsidR="00323DB4" w:rsidRDefault="00323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9DE6" w14:textId="77777777" w:rsidR="00323DB4" w:rsidRDefault="00323DB4">
      <w:r>
        <w:separator/>
      </w:r>
    </w:p>
  </w:footnote>
  <w:footnote w:type="continuationSeparator" w:id="0">
    <w:p w14:paraId="03DD41F9" w14:textId="77777777" w:rsidR="00323DB4" w:rsidRDefault="0032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FF29" w14:textId="77777777" w:rsidR="00323DB4" w:rsidRDefault="00323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73B9" w14:textId="77777777" w:rsidR="00323DB4" w:rsidRDefault="00323DB4">
    <w:pPr>
      <w:pStyle w:val="Header"/>
    </w:pPr>
  </w:p>
  <w:p w14:paraId="46F27F5C" w14:textId="77777777" w:rsidR="00323DB4" w:rsidRDefault="00323DB4">
    <w:pPr>
      <w:pStyle w:val="Header"/>
    </w:pPr>
  </w:p>
  <w:p w14:paraId="600CCFB3" w14:textId="77777777" w:rsidR="00323DB4" w:rsidRDefault="00323DB4">
    <w:pPr>
      <w:pStyle w:val="Header"/>
    </w:pPr>
  </w:p>
  <w:p w14:paraId="6688F9B7" w14:textId="77777777" w:rsidR="00323DB4" w:rsidRDefault="00323DB4">
    <w:pPr>
      <w:pStyle w:val="Header"/>
    </w:pPr>
  </w:p>
  <w:p w14:paraId="2FE0CCB4" w14:textId="77777777" w:rsidR="00323DB4" w:rsidRDefault="00323D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1717" w14:textId="77777777" w:rsidR="00323DB4" w:rsidRDefault="00323D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B6"/>
    <w:rsid w:val="00323DB4"/>
    <w:rsid w:val="00EF6B74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6E5A0C"/>
  <w15:chartTrackingRefBased/>
  <w15:docId w15:val="{04462C52-21E0-4138-A037-CFF3E7EB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148</Words>
  <Characters>686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15-1303</vt:lpstr>
    </vt:vector>
  </TitlesOfParts>
  <Company>LCS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15-1303; School for the deaf and the blind as public corporation; tax exemption</dc:title>
  <dc:subject>School for the deaf and the blind as public corporation; tax exemption</dc:subject>
  <dc:creator>Arizona Legislative Council</dc:creator>
  <cp:keywords/>
  <dc:description>15_x001e_1303</dc:description>
  <cp:lastModifiedBy>dbupdate</cp:lastModifiedBy>
  <cp:revision>2</cp:revision>
  <cp:lastPrinted>1999-03-22T18:35:00Z</cp:lastPrinted>
  <dcterms:created xsi:type="dcterms:W3CDTF">2025-09-20T06:28:00Z</dcterms:created>
  <dcterms:modified xsi:type="dcterms:W3CDTF">2025-09-20T06:28:00Z</dcterms:modified>
</cp:coreProperties>
</file>