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FA23A" w14:textId="77777777" w:rsidR="004F2D1F" w:rsidRPr="009A097A" w:rsidRDefault="00941D74">
      <w:pPr>
        <w:pStyle w:val="SEC06-18"/>
        <w:rPr>
          <w:rFonts w:ascii="Courier New" w:hAnsi="Courier New"/>
        </w:rPr>
      </w:pPr>
      <w:r w:rsidRPr="009A097A">
        <w:rPr>
          <w:rFonts w:ascii="Courier New" w:hAnsi="Courier New"/>
          <w:vanish/>
        </w:rPr>
        <w:fldChar w:fldCharType="begin"/>
      </w:r>
      <w:r w:rsidRPr="009A097A">
        <w:rPr>
          <w:rFonts w:ascii="Courier New" w:hAnsi="Courier New"/>
          <w:vanish/>
        </w:rPr>
        <w:instrText xml:space="preserve"> COMMENTS START_STATUTE \* MERGEFORMAT </w:instrText>
      </w:r>
      <w:r w:rsidRPr="009A097A">
        <w:rPr>
          <w:rFonts w:ascii="Courier New" w:hAnsi="Courier New"/>
          <w:vanish/>
        </w:rPr>
        <w:fldChar w:fldCharType="separate"/>
      </w:r>
      <w:r w:rsidRPr="009A097A">
        <w:rPr>
          <w:rFonts w:ascii="Courier New" w:hAnsi="Courier New"/>
          <w:vanish/>
        </w:rPr>
        <w:t>START_STATUTE</w:t>
      </w:r>
      <w:r w:rsidRPr="009A097A">
        <w:rPr>
          <w:rFonts w:ascii="Courier New" w:hAnsi="Courier New"/>
          <w:vanish/>
        </w:rPr>
        <w:fldChar w:fldCharType="end"/>
      </w:r>
      <w:r w:rsidR="004F2D1F" w:rsidRPr="009A097A">
        <w:rPr>
          <w:rStyle w:val="SNUM"/>
          <w:rFonts w:ascii="Courier New" w:hAnsi="Courier New"/>
        </w:rPr>
        <w:t>15-753.</w:t>
      </w:r>
      <w:r w:rsidR="007E53B7" w:rsidRPr="009A097A">
        <w:rPr>
          <w:rFonts w:ascii="Courier New" w:hAnsi="Courier New"/>
        </w:rPr>
        <w:t>  </w:t>
      </w:r>
      <w:r w:rsidR="004F2D1F" w:rsidRPr="009A097A">
        <w:rPr>
          <w:rStyle w:val="SECHEAD"/>
          <w:rFonts w:ascii="Courier New" w:hAnsi="Courier New"/>
        </w:rPr>
        <w:t>Parental waivers</w:t>
      </w:r>
      <w:r w:rsidR="004F2D1F" w:rsidRPr="009A097A">
        <w:rPr>
          <w:rFonts w:ascii="Courier New" w:hAnsi="Courier New"/>
        </w:rPr>
        <w:t xml:space="preserve"> </w:t>
      </w:r>
    </w:p>
    <w:p w14:paraId="566F85CD" w14:textId="77777777" w:rsidR="004F2D1F" w:rsidRPr="009A097A" w:rsidRDefault="004F2D1F">
      <w:pPr>
        <w:pStyle w:val="P06-00"/>
        <w:rPr>
          <w:rFonts w:ascii="Courier New" w:hAnsi="Courier New"/>
        </w:rPr>
      </w:pPr>
    </w:p>
    <w:p w14:paraId="0F6CF7B2" w14:textId="77777777" w:rsidR="004F2D1F" w:rsidRPr="009A097A" w:rsidRDefault="004F2D1F">
      <w:pPr>
        <w:pStyle w:val="P06-00"/>
        <w:rPr>
          <w:rFonts w:ascii="Courier New" w:hAnsi="Courier New"/>
        </w:rPr>
      </w:pPr>
      <w:r w:rsidRPr="009A097A">
        <w:rPr>
          <w:rFonts w:ascii="Courier New" w:hAnsi="Courier New"/>
        </w:rPr>
        <w:t>(Caution:  1998 Prop. 105 Applies)</w:t>
      </w:r>
    </w:p>
    <w:p w14:paraId="6267228E" w14:textId="77777777" w:rsidR="004F2D1F" w:rsidRPr="009A097A" w:rsidRDefault="004F2D1F">
      <w:pPr>
        <w:pStyle w:val="P06-00"/>
        <w:rPr>
          <w:rFonts w:ascii="Courier New" w:hAnsi="Courier New"/>
        </w:rPr>
      </w:pPr>
    </w:p>
    <w:p w14:paraId="29A598F3" w14:textId="77777777" w:rsidR="004F2D1F" w:rsidRPr="009A097A" w:rsidRDefault="004F2D1F">
      <w:pPr>
        <w:pStyle w:val="P06-00"/>
        <w:rPr>
          <w:rFonts w:ascii="Courier New" w:hAnsi="Courier New"/>
        </w:rPr>
      </w:pPr>
      <w:r w:rsidRPr="009A097A">
        <w:rPr>
          <w:rFonts w:ascii="Courier New" w:hAnsi="Courier New"/>
        </w:rPr>
        <w:t>A.  The requirements of section 15</w:t>
      </w:r>
      <w:r w:rsidRPr="009A097A">
        <w:rPr>
          <w:rFonts w:ascii="Courier New" w:hAnsi="Courier New"/>
        </w:rPr>
        <w:noBreakHyphen/>
        <w:t>752 may be waived with the prior written informed consent, to be provided annually, of the child's parents or legal guardian under the circumstances specified in this section.  Such informed consent shall require that said parents or legal guardian personally visit the school to apply for the waiver and that they there be provided a full description of the educational materials to be used in the different educational program choices and all the educational opportunities available to the child.  If a parental waiver has been granted, the affected child shall be transferred to classes teaching English and other subjects through bilingual education techniques or other generally recognized educational methodologies permitted by law.  Individual schools in which 20 students or more of a given grade level receive a waiver shall be required to offer such a class; in all other cases, such students must be permitted to transfer to a public school in which such a class is offered.</w:t>
      </w:r>
    </w:p>
    <w:p w14:paraId="50E96350" w14:textId="77777777" w:rsidR="004F2D1F" w:rsidRPr="009A097A" w:rsidRDefault="004F2D1F">
      <w:pPr>
        <w:pStyle w:val="P06-00"/>
        <w:rPr>
          <w:rFonts w:ascii="Courier New" w:hAnsi="Courier New"/>
        </w:rPr>
      </w:pPr>
      <w:r w:rsidRPr="009A097A">
        <w:rPr>
          <w:rFonts w:ascii="Courier New" w:hAnsi="Courier New"/>
        </w:rPr>
        <w:t xml:space="preserve">B.  The circumstances in which a parental exception waiver may be applied for under this section are as follows: </w:t>
      </w:r>
    </w:p>
    <w:p w14:paraId="2493E761" w14:textId="77777777" w:rsidR="004F2D1F" w:rsidRPr="009A097A" w:rsidRDefault="004F2D1F">
      <w:pPr>
        <w:pStyle w:val="P06-00"/>
        <w:rPr>
          <w:rFonts w:ascii="Courier New" w:hAnsi="Courier New"/>
        </w:rPr>
      </w:pPr>
      <w:r w:rsidRPr="009A097A">
        <w:rPr>
          <w:rFonts w:ascii="Courier New" w:hAnsi="Courier New"/>
        </w:rPr>
        <w:t xml:space="preserve">1.  Children who already know English: the child already possesses good English language skills, as measured by oral evaluation or standardized tests of English vocabulary comprehension, reading, and writing, in which the child scores approximately at or above the state average for his grade level or at or above the 5th grade average, whichever is lower; or </w:t>
      </w:r>
    </w:p>
    <w:p w14:paraId="59203C9E" w14:textId="77777777" w:rsidR="004F2D1F" w:rsidRPr="009A097A" w:rsidRDefault="004F2D1F">
      <w:pPr>
        <w:pStyle w:val="P06-00"/>
        <w:rPr>
          <w:rFonts w:ascii="Courier New" w:hAnsi="Courier New"/>
        </w:rPr>
      </w:pPr>
      <w:r w:rsidRPr="009A097A">
        <w:rPr>
          <w:rFonts w:ascii="Courier New" w:hAnsi="Courier New"/>
        </w:rPr>
        <w:t xml:space="preserve">2.  Older children: the child is age 10 years or older, and it is the informed belief of the school principal and educational staff that an alternate course of educational study would be better suited to the child's overall educational progress and rapid acquisition of basic English language skills; or </w:t>
      </w:r>
    </w:p>
    <w:p w14:paraId="44C26512" w14:textId="77777777" w:rsidR="004F2D1F" w:rsidRPr="009A097A" w:rsidRDefault="004F2D1F">
      <w:pPr>
        <w:pStyle w:val="P06-00"/>
        <w:rPr>
          <w:rFonts w:ascii="Courier New" w:hAnsi="Courier New"/>
        </w:rPr>
      </w:pPr>
      <w:r w:rsidRPr="009A097A">
        <w:rPr>
          <w:rFonts w:ascii="Courier New" w:hAnsi="Courier New"/>
        </w:rPr>
        <w:t>3.  Children with special individual needs: the child already has been placed for a period of not less than thirty calendar days during that school year in an English language classroom and it is subsequently the informed belief of the school principal and educational staff that the child has such special and individual physical or psychological needs, above and beyond the child's lack of English proficiency, that an alternate course of educational study would be better suited to the child's overall educational development and rapid acquisition of English.  A written description of no less than 250 words documenting these special individual needs for the specific child must be provided and permanently added to the child's official school records, and the waiver application must contain the original authorizing signatures of both the school principal and the local superintendent of schools.  Any such decision to issue such an individual waiver is to be made subject to the examination and approval of the local school superintendent, under guidelines established by and subject to the review of the local governing board and ultimately the state board of education. Teachers and local school districts may reject waiver requests without explanation or legal consequence, the existence of such special individual needs shall not compel issuance of a waiver, and the parents shall be fully informed of their right to refuse to agree to a waiver.</w:t>
      </w:r>
      <w:r w:rsidRPr="009A097A">
        <w:rPr>
          <w:rFonts w:ascii="Courier New" w:hAnsi="Courier New"/>
          <w:vanish/>
        </w:rPr>
        <w:t xml:space="preserve"> </w:t>
      </w:r>
      <w:r w:rsidR="00941D74" w:rsidRPr="009A097A">
        <w:rPr>
          <w:rFonts w:ascii="Courier New" w:hAnsi="Courier New"/>
          <w:vanish/>
        </w:rPr>
        <w:fldChar w:fldCharType="begin"/>
      </w:r>
      <w:r w:rsidR="00941D74" w:rsidRPr="009A097A">
        <w:rPr>
          <w:rFonts w:ascii="Courier New" w:hAnsi="Courier New"/>
          <w:vanish/>
        </w:rPr>
        <w:instrText xml:space="preserve"> COMMENTS END_STATUTE \* MERGEFORMAT </w:instrText>
      </w:r>
      <w:r w:rsidR="00941D74" w:rsidRPr="009A097A">
        <w:rPr>
          <w:rFonts w:ascii="Courier New" w:hAnsi="Courier New"/>
          <w:vanish/>
        </w:rPr>
        <w:fldChar w:fldCharType="separate"/>
      </w:r>
      <w:r w:rsidR="00941D74" w:rsidRPr="009A097A">
        <w:rPr>
          <w:rFonts w:ascii="Courier New" w:hAnsi="Courier New"/>
          <w:vanish/>
        </w:rPr>
        <w:t>END_STATUTE</w:t>
      </w:r>
      <w:r w:rsidR="00941D74" w:rsidRPr="009A097A">
        <w:rPr>
          <w:rFonts w:ascii="Courier New" w:hAnsi="Courier New"/>
          <w:vanish/>
        </w:rPr>
        <w:fldChar w:fldCharType="end"/>
      </w:r>
    </w:p>
    <w:sectPr w:rsidR="004F2D1F" w:rsidRPr="009A097A">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B7"/>
    <w:rsid w:val="004F2D1F"/>
    <w:rsid w:val="007E53B7"/>
    <w:rsid w:val="00941D74"/>
    <w:rsid w:val="009A0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D562C0"/>
  <w15:chartTrackingRefBased/>
  <w15:docId w15:val="{A2B31918-0A41-4EB0-8F80-24F32BC4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2883</Characters>
  <Application>Microsoft Office Word</Application>
  <DocSecurity>0</DocSecurity>
  <Lines>52</Lines>
  <Paragraphs>8</Paragraphs>
  <ScaleCrop>false</ScaleCrop>
  <HeadingPairs>
    <vt:vector size="2" baseType="variant">
      <vt:variant>
        <vt:lpstr>Title</vt:lpstr>
      </vt:variant>
      <vt:variant>
        <vt:i4>1</vt:i4>
      </vt:variant>
    </vt:vector>
  </HeadingPairs>
  <TitlesOfParts>
    <vt:vector size="1" baseType="lpstr">
      <vt:lpstr>15-753</vt:lpstr>
    </vt:vector>
  </TitlesOfParts>
  <Company>LCS</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15-753; Parental waivers </dc:title>
  <dc:subject>Parental waivers </dc:subject>
  <dc:creator>Arizona Legislative Council</dc:creator>
  <cp:keywords/>
  <dc:description/>
  <cp:lastModifiedBy>dbupdate</cp:lastModifiedBy>
  <cp:revision>2</cp:revision>
  <cp:lastPrinted>2000-12-05T15:58:00Z</cp:lastPrinted>
  <dcterms:created xsi:type="dcterms:W3CDTF">2025-09-20T05:58:00Z</dcterms:created>
  <dcterms:modified xsi:type="dcterms:W3CDTF">2025-09-20T05:58:00Z</dcterms:modified>
</cp:coreProperties>
</file>