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36E0E" w14:textId="77777777" w:rsidR="00DD1EE3" w:rsidRPr="00876404" w:rsidRDefault="00DD1EE3" w:rsidP="00DD1EE3">
      <w:pPr>
        <w:widowControl/>
        <w:ind w:left="2160" w:right="720" w:hanging="1440"/>
        <w:rPr>
          <w:rFonts w:ascii="Courier New" w:hAnsi="Courier New" w:cs="Courier New"/>
        </w:rPr>
      </w:pPr>
      <w:r w:rsidRPr="00876404">
        <w:rPr>
          <w:rFonts w:ascii="Courier New" w:hAnsi="Courier New" w:cs="Courier New"/>
        </w:rPr>
        <w:fldChar w:fldCharType="begin"/>
      </w:r>
      <w:r w:rsidRPr="00876404">
        <w:rPr>
          <w:rFonts w:ascii="Courier New" w:hAnsi="Courier New" w:cs="Courier New"/>
        </w:rPr>
        <w:instrText xml:space="preserve"> COMMENTS START_STATUTE \* MERGEFORMAT </w:instrText>
      </w:r>
      <w:r w:rsidRPr="00876404">
        <w:rPr>
          <w:rFonts w:ascii="Courier New" w:hAnsi="Courier New" w:cs="Courier New"/>
        </w:rPr>
        <w:fldChar w:fldCharType="separate"/>
      </w:r>
      <w:r w:rsidRPr="00876404">
        <w:rPr>
          <w:rFonts w:ascii="Courier New" w:hAnsi="Courier New" w:cs="Courier New"/>
          <w:vanish/>
        </w:rPr>
        <w:t>START_STATUTE</w:t>
      </w:r>
      <w:r w:rsidRPr="00876404">
        <w:rPr>
          <w:rFonts w:ascii="Courier New" w:hAnsi="Courier New" w:cs="Courier New"/>
        </w:rPr>
        <w:fldChar w:fldCharType="end"/>
      </w:r>
      <w:r w:rsidRPr="00876404">
        <w:rPr>
          <w:rStyle w:val="SNUM"/>
          <w:rFonts w:ascii="Courier New" w:hAnsi="Courier New" w:cs="Courier New"/>
        </w:rPr>
        <w:t>13-3826.</w:t>
      </w:r>
      <w:r w:rsidRPr="00876404">
        <w:rPr>
          <w:rFonts w:ascii="Courier New" w:hAnsi="Courier New" w:cs="Courier New"/>
        </w:rPr>
        <w:t>  </w:t>
      </w:r>
      <w:r w:rsidRPr="00876404">
        <w:rPr>
          <w:rStyle w:val="SECHEAD"/>
          <w:rFonts w:ascii="Courier New" w:hAnsi="Courier New" w:cs="Courier New"/>
        </w:rPr>
        <w:t>Petition to terminate sex offender registration; hearing; notice</w:t>
      </w:r>
    </w:p>
    <w:p w14:paraId="2E81D4C5"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A.  A defendant who is ordered or required to register pursuant to section 13</w:t>
      </w:r>
      <w:r w:rsidRPr="00876404">
        <w:rPr>
          <w:rFonts w:ascii="Courier New" w:hAnsi="Courier New" w:cs="Courier New"/>
        </w:rPr>
        <w:noBreakHyphen/>
        <w:t>3821 for an offense committed in violation of this title and who successfully completes a term of probation may petition the court for an order to terminate any duty to register and shall serve a copy of the petition on the prosecutor.  In the petition, the defendant shall avow, under penalty of perjury, all of the following:</w:t>
      </w:r>
    </w:p>
    <w:p w14:paraId="45CC608F"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1.  The defendant is at least thirty</w:t>
      </w:r>
      <w:r w:rsidRPr="00876404">
        <w:rPr>
          <w:rFonts w:ascii="Courier New" w:hAnsi="Courier New" w:cs="Courier New"/>
        </w:rPr>
        <w:noBreakHyphen/>
        <w:t>five years of age at the time of the filing of the petition and was under twenty</w:t>
      </w:r>
      <w:r w:rsidRPr="00876404">
        <w:rPr>
          <w:rFonts w:ascii="Courier New" w:hAnsi="Courier New" w:cs="Courier New"/>
        </w:rPr>
        <w:noBreakHyphen/>
        <w:t>two years of age at the time the offense was committed.</w:t>
      </w:r>
    </w:p>
    <w:p w14:paraId="4CA1235E"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2.  The victim was at least fifteen years of age at the time of the offense, was a peace officer posing as a fifteen, sixteen or seventeen year old minor or was a fictitious minor purported to be fifteen, sixteen or seventeen years of age.</w:t>
      </w:r>
    </w:p>
    <w:p w14:paraId="5CD6A9AF"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3.  If the defendant is required to be registered because of a violation of section 13</w:t>
      </w:r>
      <w:r w:rsidRPr="00876404">
        <w:rPr>
          <w:rFonts w:ascii="Courier New" w:hAnsi="Courier New" w:cs="Courier New"/>
        </w:rPr>
        <w:noBreakHyphen/>
        <w:t xml:space="preserve">1405, the sexual conduct was consensual. </w:t>
      </w:r>
    </w:p>
    <w:p w14:paraId="323884ED"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 xml:space="preserve">4.  The defendant did not violate any of the sex offender terms of the defendant's probation. </w:t>
      </w:r>
    </w:p>
    <w:p w14:paraId="3D505695"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5.  The defendant has not subsequently committed another felony offense or any offense included in chapter 14 or 35.1 of this title for at least ten years after the date on which the person was sentenced for the offense for which the defendant was ordered or required to register.</w:t>
      </w:r>
    </w:p>
    <w:p w14:paraId="4E166DD7"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6.  A court has not determined that probable cause exists to believe the defendant is a sexually violent person pursuant to title 36, chapter 37 or that a sexually violent person proceeding pursuant to title 36, chapter 37 is not currently pending.</w:t>
      </w:r>
    </w:p>
    <w:p w14:paraId="4D80B788"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7.  The violation did not involve more than one victim.</w:t>
      </w:r>
    </w:p>
    <w:p w14:paraId="5E0DC1DC"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8.  The defendant was not sentenced to a term of imprisonment in the state department of corrections for the offense for which the defendant was required to register.</w:t>
      </w:r>
    </w:p>
    <w:p w14:paraId="50D2EC83"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9.  The defendant was not convicted of more than one offense involving more than one victim.</w:t>
      </w:r>
    </w:p>
    <w:p w14:paraId="46C84464"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10.  The defendant was not convicted of a violation or attempted violation of section 13</w:t>
      </w:r>
      <w:r w:rsidRPr="00876404">
        <w:rPr>
          <w:rFonts w:ascii="Courier New" w:hAnsi="Courier New" w:cs="Courier New"/>
        </w:rPr>
        <w:noBreakHyphen/>
        <w:t>1406, 13</w:t>
      </w:r>
      <w:r w:rsidRPr="00876404">
        <w:rPr>
          <w:rFonts w:ascii="Courier New" w:hAnsi="Courier New" w:cs="Courier New"/>
        </w:rPr>
        <w:noBreakHyphen/>
        <w:t>1410, 13</w:t>
      </w:r>
      <w:r w:rsidRPr="00876404">
        <w:rPr>
          <w:rFonts w:ascii="Courier New" w:hAnsi="Courier New" w:cs="Courier New"/>
        </w:rPr>
        <w:noBreakHyphen/>
        <w:t>1417, 13</w:t>
      </w:r>
      <w:r w:rsidRPr="00876404">
        <w:rPr>
          <w:rFonts w:ascii="Courier New" w:hAnsi="Courier New" w:cs="Courier New"/>
        </w:rPr>
        <w:noBreakHyphen/>
        <w:t>1423, 13</w:t>
      </w:r>
      <w:r w:rsidRPr="00876404">
        <w:rPr>
          <w:rFonts w:ascii="Courier New" w:hAnsi="Courier New" w:cs="Courier New"/>
        </w:rPr>
        <w:noBreakHyphen/>
        <w:t>3206, 13</w:t>
      </w:r>
      <w:r w:rsidRPr="00876404">
        <w:rPr>
          <w:rFonts w:ascii="Courier New" w:hAnsi="Courier New" w:cs="Courier New"/>
        </w:rPr>
        <w:noBreakHyphen/>
        <w:t>3212 or 13</w:t>
      </w:r>
      <w:r w:rsidRPr="00876404">
        <w:rPr>
          <w:rFonts w:ascii="Courier New" w:hAnsi="Courier New" w:cs="Courier New"/>
        </w:rPr>
        <w:noBreakHyphen/>
        <w:t>3553.</w:t>
      </w:r>
    </w:p>
    <w:p w14:paraId="0BF49243" w14:textId="77777777" w:rsidR="00DD1EE3" w:rsidRPr="00876404" w:rsidRDefault="00DD1EE3" w:rsidP="00DD1EE3">
      <w:pPr>
        <w:widowControl/>
        <w:ind w:firstLine="720"/>
        <w:rPr>
          <w:rFonts w:ascii="Courier New" w:hAnsi="Courier New" w:cs="Courier New"/>
        </w:rPr>
      </w:pPr>
      <w:r w:rsidRPr="00876404">
        <w:rPr>
          <w:rFonts w:ascii="Courier New" w:hAnsi="Courier New" w:cs="Courier New"/>
        </w:rPr>
        <w:t>B.  On receipt of the petition, the court shall set a hearing and provide sufficient notice to the state to allow victim notification.  The state has the burden of establishing by a preponderance of the evidence that a factor listed in subsection A of this section has not been met.  At the hearing, any party may introduce any reliable and relevant evidence, including hearsay evidence.  Before ruling on the petition, the court must provide all parties, including the victim, with the opportunity to be heard.</w:t>
      </w:r>
    </w:p>
    <w:p w14:paraId="3829B5E5" w14:textId="77777777" w:rsidR="00520038" w:rsidRPr="00876404" w:rsidRDefault="00DD1EE3" w:rsidP="00520038">
      <w:pPr>
        <w:widowControl/>
        <w:ind w:firstLine="720"/>
        <w:rPr>
          <w:rFonts w:ascii="Courier New" w:hAnsi="Courier New" w:cs="Courier New"/>
        </w:rPr>
      </w:pPr>
      <w:r w:rsidRPr="00876404">
        <w:rPr>
          <w:rFonts w:ascii="Courier New" w:hAnsi="Courier New" w:cs="Courier New"/>
        </w:rPr>
        <w:t>C.  The court shall deny the petition if the court finds that any factor listed in subsection A of this section is not met.</w:t>
      </w:r>
    </w:p>
    <w:p w14:paraId="35A073D4" w14:textId="4F9592B3" w:rsidR="00F540AD" w:rsidRPr="00876404" w:rsidRDefault="00DD1EE3" w:rsidP="00520038">
      <w:pPr>
        <w:widowControl/>
        <w:ind w:firstLine="720"/>
        <w:rPr>
          <w:rFonts w:ascii="Courier New" w:hAnsi="Courier New" w:cs="Courier New"/>
        </w:rPr>
      </w:pPr>
      <w:r w:rsidRPr="00876404">
        <w:rPr>
          <w:rFonts w:ascii="Courier New" w:hAnsi="Courier New" w:cs="Courier New"/>
        </w:rPr>
        <w:t>D.  Notwithstanding subsection C of this section, the court may deny a petition if the court finds that a denial is in the best interests of justice or tends to ensure the safety of the public.</w:t>
      </w:r>
      <w:r w:rsidRPr="00876404">
        <w:rPr>
          <w:rFonts w:ascii="Courier New" w:hAnsi="Courier New" w:cs="Courier New"/>
          <w:caps/>
          <w:color w:val="0000FF"/>
        </w:rPr>
        <w:t xml:space="preserve"> </w:t>
      </w:r>
      <w:r w:rsidRPr="00876404">
        <w:rPr>
          <w:rFonts w:ascii="Courier New" w:hAnsi="Courier New" w:cs="Courier New"/>
        </w:rPr>
        <w:fldChar w:fldCharType="begin"/>
      </w:r>
      <w:r w:rsidRPr="00876404">
        <w:rPr>
          <w:rFonts w:ascii="Courier New" w:hAnsi="Courier New" w:cs="Courier New"/>
        </w:rPr>
        <w:instrText xml:space="preserve"> COMMENTS END_STATUTE \* MERGEFORMAT </w:instrText>
      </w:r>
      <w:r w:rsidRPr="00876404">
        <w:rPr>
          <w:rFonts w:ascii="Courier New" w:hAnsi="Courier New" w:cs="Courier New"/>
        </w:rPr>
        <w:fldChar w:fldCharType="separate"/>
      </w:r>
      <w:r w:rsidRPr="00876404">
        <w:rPr>
          <w:rFonts w:ascii="Courier New" w:hAnsi="Courier New" w:cs="Courier New"/>
          <w:vanish/>
        </w:rPr>
        <w:t>END_STATUTE</w:t>
      </w:r>
      <w:r w:rsidRPr="00876404">
        <w:rPr>
          <w:rFonts w:ascii="Courier New" w:hAnsi="Courier New" w:cs="Courier New"/>
        </w:rPr>
        <w:fldChar w:fldCharType="end"/>
      </w:r>
    </w:p>
    <w:sectPr w:rsidR="00F540AD" w:rsidRPr="00876404" w:rsidSect="00DD1EE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7B5E" w14:textId="77777777" w:rsidR="00DD1EE3" w:rsidRDefault="00DD1EE3">
      <w:r>
        <w:separator/>
      </w:r>
    </w:p>
  </w:endnote>
  <w:endnote w:type="continuationSeparator" w:id="0">
    <w:p w14:paraId="00FB4523" w14:textId="77777777" w:rsidR="00DD1EE3" w:rsidRDefault="00DD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5C56" w14:textId="77777777" w:rsidR="00DD1EE3" w:rsidRDefault="00DD1EE3">
      <w:r>
        <w:separator/>
      </w:r>
    </w:p>
  </w:footnote>
  <w:footnote w:type="continuationSeparator" w:id="0">
    <w:p w14:paraId="6395ACB5" w14:textId="77777777" w:rsidR="00DD1EE3" w:rsidRDefault="00DD1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16955621">
    <w:abstractNumId w:val="8"/>
  </w:num>
  <w:num w:numId="2" w16cid:durableId="1786465959">
    <w:abstractNumId w:val="8"/>
  </w:num>
  <w:num w:numId="3" w16cid:durableId="1011032191">
    <w:abstractNumId w:val="7"/>
  </w:num>
  <w:num w:numId="4" w16cid:durableId="337080022">
    <w:abstractNumId w:val="7"/>
  </w:num>
  <w:num w:numId="5" w16cid:durableId="1475638554">
    <w:abstractNumId w:val="10"/>
  </w:num>
  <w:num w:numId="6" w16cid:durableId="916749562">
    <w:abstractNumId w:val="11"/>
  </w:num>
  <w:num w:numId="7" w16cid:durableId="641738125">
    <w:abstractNumId w:val="12"/>
  </w:num>
  <w:num w:numId="8" w16cid:durableId="1153646044">
    <w:abstractNumId w:val="9"/>
  </w:num>
  <w:num w:numId="9" w16cid:durableId="1384910919">
    <w:abstractNumId w:val="6"/>
  </w:num>
  <w:num w:numId="10" w16cid:durableId="465007721">
    <w:abstractNumId w:val="5"/>
  </w:num>
  <w:num w:numId="11" w16cid:durableId="837579789">
    <w:abstractNumId w:val="4"/>
  </w:num>
  <w:num w:numId="12" w16cid:durableId="218519648">
    <w:abstractNumId w:val="3"/>
  </w:num>
  <w:num w:numId="13" w16cid:durableId="219555310">
    <w:abstractNumId w:val="2"/>
  </w:num>
  <w:num w:numId="14" w16cid:durableId="476997839">
    <w:abstractNumId w:val="1"/>
  </w:num>
  <w:num w:numId="15" w16cid:durableId="71651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E3"/>
    <w:rsid w:val="00010503"/>
    <w:rsid w:val="00033AE7"/>
    <w:rsid w:val="00520038"/>
    <w:rsid w:val="00876404"/>
    <w:rsid w:val="00DD1EE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3E578"/>
  <w15:chartTrackingRefBased/>
  <w15:docId w15:val="{6E4CCD9C-1D07-4020-90BE-B691CFDD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528</Words>
  <Characters>2525</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13-3826; Petition to terminate sex offender registration; hearing; notice</dc:title>
  <dc:subject>Petition to terminate sex offender registration; hearing; notice</dc:subject>
  <dc:creator>Arizona Legislative Council</dc:creator>
  <cp:keywords/>
  <dc:description>0393.docx - 551R - 2021</dc:description>
  <cp:lastModifiedBy>dbupdate</cp:lastModifiedBy>
  <cp:revision>2</cp:revision>
  <dcterms:created xsi:type="dcterms:W3CDTF">2025-09-20T03:09:00Z</dcterms:created>
  <dcterms:modified xsi:type="dcterms:W3CDTF">2025-09-20T03:09:00Z</dcterms:modified>
</cp:coreProperties>
</file>