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1FC96" w14:textId="77777777" w:rsidR="007C63D5" w:rsidRPr="007C1F62" w:rsidRDefault="007C63D5" w:rsidP="007C63D5">
      <w:pPr>
        <w:pStyle w:val="SEC06-17"/>
        <w:rPr>
          <w:rFonts w:ascii="Courier New" w:hAnsi="Courier New"/>
        </w:rPr>
      </w:pPr>
      <w:r w:rsidRPr="007C1F62">
        <w:rPr>
          <w:rFonts w:ascii="Courier New" w:hAnsi="Courier New"/>
          <w:vanish/>
        </w:rPr>
        <w:fldChar w:fldCharType="begin"/>
      </w:r>
      <w:r w:rsidRPr="007C1F62">
        <w:rPr>
          <w:rFonts w:ascii="Courier New" w:hAnsi="Courier New"/>
          <w:vanish/>
        </w:rPr>
        <w:instrText xml:space="preserve"> COMMENTS START_STATUTE \* MERGEFORMAT </w:instrText>
      </w:r>
      <w:r w:rsidRPr="007C1F62">
        <w:rPr>
          <w:rFonts w:ascii="Courier New" w:hAnsi="Courier New"/>
          <w:vanish/>
        </w:rPr>
        <w:fldChar w:fldCharType="separate"/>
      </w:r>
      <w:proofErr w:type="spellStart"/>
      <w:r w:rsidRPr="007C1F62">
        <w:rPr>
          <w:rFonts w:ascii="Courier New" w:hAnsi="Courier New"/>
          <w:vanish/>
        </w:rPr>
        <w:t>START_STATUTE</w:t>
      </w:r>
      <w:r w:rsidRPr="007C1F62">
        <w:rPr>
          <w:rFonts w:ascii="Courier New" w:hAnsi="Courier New"/>
          <w:vanish/>
        </w:rPr>
        <w:fldChar w:fldCharType="end"/>
      </w:r>
      <w:r w:rsidRPr="007C1F62">
        <w:rPr>
          <w:rStyle w:val="SNUM"/>
          <w:rFonts w:ascii="Courier New" w:hAnsi="Courier New"/>
        </w:rPr>
        <w:t>12</w:t>
      </w:r>
      <w:proofErr w:type="spellEnd"/>
      <w:r w:rsidRPr="007C1F62">
        <w:rPr>
          <w:rStyle w:val="SNUM"/>
          <w:rFonts w:ascii="Courier New" w:hAnsi="Courier New"/>
        </w:rPr>
        <w:t>-571</w:t>
      </w:r>
      <w:r w:rsidRPr="007C1F62">
        <w:rPr>
          <w:rFonts w:ascii="Courier New" w:hAnsi="Courier New"/>
        </w:rPr>
        <w:t>.  </w:t>
      </w:r>
      <w:r w:rsidRPr="007C1F62">
        <w:rPr>
          <w:rStyle w:val="SECHEAD"/>
          <w:rFonts w:ascii="Courier New" w:hAnsi="Courier New"/>
        </w:rPr>
        <w:t>Qualified immunity; health professionals; nonprofit clinics; previously owned prescription eyeglasses</w:t>
      </w:r>
    </w:p>
    <w:p w14:paraId="65A3DFBB" w14:textId="77777777" w:rsidR="007C63D5" w:rsidRPr="007C1F62" w:rsidRDefault="007C63D5" w:rsidP="007C63D5">
      <w:pPr>
        <w:pStyle w:val="P06-00"/>
        <w:rPr>
          <w:rFonts w:ascii="Courier New" w:hAnsi="Courier New"/>
        </w:rPr>
      </w:pPr>
      <w:r w:rsidRPr="007C1F62">
        <w:rPr>
          <w:rFonts w:ascii="Courier New" w:hAnsi="Courier New"/>
        </w:rPr>
        <w:t>A.  A health professional as defined in section 32</w:t>
      </w:r>
      <w:r w:rsidRPr="007C1F62">
        <w:rPr>
          <w:rFonts w:ascii="Courier New" w:hAnsi="Courier New"/>
        </w:rPr>
        <w:noBreakHyphen/>
        <w:t>3201 or a health professional who meets the requirements of section 32</w:t>
      </w:r>
      <w:r w:rsidRPr="007C1F62">
        <w:rPr>
          <w:rFonts w:ascii="Courier New" w:hAnsi="Courier New"/>
        </w:rPr>
        <w:noBreakHyphen/>
        <w:t>3217 and who provides medical, optometric or dental treatment, care or screening within the scope of the health professional's certificate or license at a nonprofit clinic where neither the professional nor the nonprofit clinic receives compensation for any treatment, care or screening provided at the nonprofit clinic is not liable in a medical malpractice action, unless the health professional was grossly negligent.  For the purposes of this subsection, "nonprofit clinic" includes a clinic, an office, a homeless or other shelter, a health or screening fair or any other setting where treatment, care or screening is provided at no cost to the patient.</w:t>
      </w:r>
    </w:p>
    <w:p w14:paraId="5ACAEF96" w14:textId="77777777" w:rsidR="00F540AD" w:rsidRPr="007C1F62" w:rsidRDefault="007C63D5" w:rsidP="007C63D5">
      <w:pPr>
        <w:pStyle w:val="P06-00"/>
        <w:rPr>
          <w:rFonts w:ascii="Courier New" w:hAnsi="Courier New"/>
        </w:rPr>
      </w:pPr>
      <w:r w:rsidRPr="007C1F62">
        <w:rPr>
          <w:rFonts w:ascii="Courier New" w:hAnsi="Courier New"/>
        </w:rPr>
        <w:t>B.  A health professional who, within the pro</w:t>
      </w:r>
      <w:r w:rsidR="00ED2CBF" w:rsidRPr="007C1F62">
        <w:rPr>
          <w:rFonts w:ascii="Courier New" w:hAnsi="Courier New"/>
        </w:rPr>
        <w:t xml:space="preserve">fessional's scope of practice, </w:t>
      </w:r>
      <w:r w:rsidRPr="007C1F62">
        <w:rPr>
          <w:rFonts w:ascii="Courier New" w:hAnsi="Courier New"/>
        </w:rPr>
        <w:t xml:space="preserve">provides previously owned prescription eyeglasses free of charge through a charitable, nonprofit or fraternal organization is not liable for an injury to the recipient if the recipient or the recipient's parent or legal guardian has signed a medical malpractice release form and the injury is not a direct result of the health professional's intentional misconduct or gross negligence.  For the purposes of this subsection, "medical malpractice release form" means a document that the recipient or the recipient's parent or legal guardian signs before the recipient receives eyeglasses pursuant to this subsection to acknowledge that the eyeglasses were not made specifically for the recipient and to accept full responsibility for the recipient's eye safety. </w:t>
      </w:r>
      <w:r w:rsidRPr="007C1F62">
        <w:rPr>
          <w:rFonts w:ascii="Courier New" w:hAnsi="Courier New"/>
          <w:noProof/>
          <w:vanish/>
        </w:rPr>
        <w:fldChar w:fldCharType="begin"/>
      </w:r>
      <w:r w:rsidRPr="007C1F62">
        <w:rPr>
          <w:rFonts w:ascii="Courier New" w:hAnsi="Courier New"/>
          <w:noProof/>
          <w:vanish/>
        </w:rPr>
        <w:instrText xml:space="preserve"> COMMENTS END_STATUTE \* MERGEFORMAT </w:instrText>
      </w:r>
      <w:r w:rsidRPr="007C1F62">
        <w:rPr>
          <w:rFonts w:ascii="Courier New" w:hAnsi="Courier New"/>
          <w:noProof/>
          <w:vanish/>
        </w:rPr>
        <w:fldChar w:fldCharType="separate"/>
      </w:r>
      <w:r w:rsidRPr="007C1F62">
        <w:rPr>
          <w:rFonts w:ascii="Courier New" w:hAnsi="Courier New"/>
          <w:noProof/>
          <w:vanish/>
        </w:rPr>
        <w:t>END_STATUTE</w:t>
      </w:r>
      <w:r w:rsidRPr="007C1F62">
        <w:rPr>
          <w:rFonts w:ascii="Courier New" w:hAnsi="Courier New"/>
          <w:noProof/>
          <w:vanish/>
        </w:rPr>
        <w:fldChar w:fldCharType="end"/>
      </w:r>
    </w:p>
    <w:sectPr w:rsidR="00F540AD" w:rsidRPr="007C1F62">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BFF50" w14:textId="77777777" w:rsidR="008D11E6" w:rsidRDefault="008D11E6">
      <w:r>
        <w:separator/>
      </w:r>
    </w:p>
  </w:endnote>
  <w:endnote w:type="continuationSeparator" w:id="0">
    <w:p w14:paraId="287ADBCC" w14:textId="77777777" w:rsidR="008D11E6" w:rsidRDefault="008D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6217D" w14:textId="77777777" w:rsidR="008D11E6" w:rsidRDefault="008D11E6">
      <w:r>
        <w:separator/>
      </w:r>
    </w:p>
  </w:footnote>
  <w:footnote w:type="continuationSeparator" w:id="0">
    <w:p w14:paraId="0279EC25" w14:textId="77777777" w:rsidR="008D11E6" w:rsidRDefault="008D1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3596544">
    <w:abstractNumId w:val="1"/>
  </w:num>
  <w:num w:numId="2" w16cid:durableId="491065911">
    <w:abstractNumId w:val="1"/>
  </w:num>
  <w:num w:numId="3" w16cid:durableId="1996105157">
    <w:abstractNumId w:val="0"/>
  </w:num>
  <w:num w:numId="4" w16cid:durableId="540633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D5"/>
    <w:rsid w:val="002E3B9B"/>
    <w:rsid w:val="007C1F62"/>
    <w:rsid w:val="007C63D5"/>
    <w:rsid w:val="008D11E6"/>
    <w:rsid w:val="00ED2CBF"/>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C4397F"/>
  <w15:chartTrackingRefBased/>
  <w15:docId w15:val="{A91DA810-EC0F-4F3C-A8E9-F8C627F8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7C63D5"/>
    <w:rPr>
      <w:rFonts w:ascii="Letter-Gothic-Drafting" w:hAnsi="Letter-Gothic-Drafting"/>
      <w:b/>
      <w:snapToGrid w:val="0"/>
    </w:rPr>
  </w:style>
  <w:style w:type="character" w:customStyle="1" w:styleId="SEC06-17Char">
    <w:name w:val="SEC 06-17 Char"/>
    <w:link w:val="SEC06-17"/>
    <w:rsid w:val="007C63D5"/>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272</Words>
  <Characters>1563</Characters>
  <Application>Microsoft Office Word</Application>
  <DocSecurity>0</DocSecurity>
  <Lines>26</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12-571; Qualified immunity; health professionals; nonprofit clinics; previously owned prescription eyeglasses</dc:title>
  <dc:subject>Qualified immunity; health professionals; nonprofit clinics; previously owned prescription eyeglasses</dc:subject>
  <dc:creator>Arizona Legislative Council</dc:creator>
  <cp:keywords/>
  <cp:lastModifiedBy>dbupdate</cp:lastModifiedBy>
  <cp:revision>2</cp:revision>
  <dcterms:created xsi:type="dcterms:W3CDTF">2025-09-20T00:28:00Z</dcterms:created>
  <dcterms:modified xsi:type="dcterms:W3CDTF">2025-09-20T00:28:00Z</dcterms:modified>
</cp:coreProperties>
</file>