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25CC19" w14:textId="77777777" w:rsidR="00CD1350" w:rsidRPr="00151351" w:rsidRDefault="00CD1350" w:rsidP="00CD1350">
      <w:pPr>
        <w:pStyle w:val="SEC06-17"/>
        <w:rPr>
          <w:rFonts w:ascii="Courier New" w:hAnsi="Courier New"/>
        </w:rPr>
      </w:pPr>
      <w:r w:rsidRPr="00151351">
        <w:rPr>
          <w:rFonts w:ascii="Courier New" w:hAnsi="Courier New"/>
          <w:vanish/>
        </w:rPr>
        <w:fldChar w:fldCharType="begin"/>
      </w:r>
      <w:r w:rsidRPr="00151351">
        <w:rPr>
          <w:rFonts w:ascii="Courier New" w:hAnsi="Courier New"/>
          <w:vanish/>
        </w:rPr>
        <w:instrText xml:space="preserve"> COMMENTS START_STATUTE \* MERGEFORMAT </w:instrText>
      </w:r>
      <w:r w:rsidRPr="00151351">
        <w:rPr>
          <w:rFonts w:ascii="Courier New" w:hAnsi="Courier New"/>
          <w:vanish/>
        </w:rPr>
        <w:fldChar w:fldCharType="separate"/>
      </w:r>
      <w:r w:rsidRPr="00151351">
        <w:rPr>
          <w:rFonts w:ascii="Courier New" w:hAnsi="Courier New"/>
          <w:vanish/>
        </w:rPr>
        <w:t>START_STATUTE</w:t>
      </w:r>
      <w:r w:rsidRPr="00151351">
        <w:rPr>
          <w:rFonts w:ascii="Courier New" w:hAnsi="Courier New"/>
          <w:vanish/>
        </w:rPr>
        <w:fldChar w:fldCharType="end"/>
      </w:r>
      <w:r w:rsidRPr="00151351">
        <w:rPr>
          <w:rStyle w:val="SNUM"/>
          <w:rFonts w:ascii="Courier New" w:hAnsi="Courier New"/>
        </w:rPr>
        <w:t>12-530.</w:t>
      </w:r>
      <w:r w:rsidRPr="00151351">
        <w:rPr>
          <w:rFonts w:ascii="Courier New" w:hAnsi="Courier New"/>
        </w:rPr>
        <w:t>  </w:t>
      </w:r>
      <w:r w:rsidRPr="00151351">
        <w:rPr>
          <w:rStyle w:val="SECHEAD"/>
          <w:rFonts w:ascii="Courier New" w:hAnsi="Courier New"/>
        </w:rPr>
        <w:t>Home inspector liability; four year limitation</w:t>
      </w:r>
    </w:p>
    <w:p w14:paraId="1113A93C" w14:textId="77777777" w:rsidR="00CD1350" w:rsidRPr="00151351" w:rsidRDefault="00CD1350" w:rsidP="00CD1350">
      <w:pPr>
        <w:pStyle w:val="P06-00"/>
        <w:rPr>
          <w:rFonts w:ascii="Courier New" w:hAnsi="Courier New"/>
        </w:rPr>
      </w:pPr>
      <w:r w:rsidRPr="00151351">
        <w:rPr>
          <w:rFonts w:ascii="Courier New" w:hAnsi="Courier New"/>
        </w:rPr>
        <w:t xml:space="preserve">A homeowner who has a cause of action for damages against a home inspector who is certified pursuant to title 32, chapter 1 shall commence the action within four years after the cause of action accrues. </w:t>
      </w:r>
      <w:r w:rsidRPr="00151351">
        <w:rPr>
          <w:rFonts w:ascii="Courier New" w:hAnsi="Courier New"/>
          <w:vanish/>
        </w:rPr>
        <w:fldChar w:fldCharType="begin"/>
      </w:r>
      <w:r w:rsidRPr="00151351">
        <w:rPr>
          <w:rFonts w:ascii="Courier New" w:hAnsi="Courier New"/>
          <w:vanish/>
        </w:rPr>
        <w:instrText xml:space="preserve"> COMMENTS END_STATUTE \* MERGEFORMAT </w:instrText>
      </w:r>
      <w:r w:rsidRPr="00151351">
        <w:rPr>
          <w:rFonts w:ascii="Courier New" w:hAnsi="Courier New"/>
          <w:vanish/>
        </w:rPr>
        <w:fldChar w:fldCharType="separate"/>
      </w:r>
      <w:r w:rsidRPr="00151351">
        <w:rPr>
          <w:rFonts w:ascii="Courier New" w:hAnsi="Courier New"/>
          <w:vanish/>
        </w:rPr>
        <w:t>END_STATUTE</w:t>
      </w:r>
      <w:r w:rsidRPr="00151351">
        <w:rPr>
          <w:rFonts w:ascii="Courier New" w:hAnsi="Courier New"/>
          <w:vanish/>
        </w:rPr>
        <w:fldChar w:fldCharType="end"/>
      </w:r>
      <w:bookmarkStart w:id="0" w:name="Add_Section"/>
      <w:bookmarkEnd w:id="0"/>
    </w:p>
    <w:p w14:paraId="3A502795" w14:textId="77777777" w:rsidR="00CD1350" w:rsidRPr="00151351" w:rsidRDefault="00CD1350" w:rsidP="00CD1350">
      <w:pPr>
        <w:rPr>
          <w:rFonts w:ascii="Courier New" w:hAnsi="Courier New"/>
        </w:rPr>
      </w:pPr>
    </w:p>
    <w:sectPr w:rsidR="00CD1350" w:rsidRPr="00151351" w:rsidSect="00CD1350">
      <w:type w:val="continuous"/>
      <w:pgSz w:w="12240" w:h="15840"/>
      <w:pgMar w:top="1440" w:right="1440" w:bottom="1440" w:left="1872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743E0C" w14:textId="77777777" w:rsidR="00EB57E1" w:rsidRDefault="00EB57E1">
      <w:r>
        <w:separator/>
      </w:r>
    </w:p>
  </w:endnote>
  <w:endnote w:type="continuationSeparator" w:id="0">
    <w:p w14:paraId="6D270871" w14:textId="77777777" w:rsidR="00EB57E1" w:rsidRDefault="00EB57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tter-Gothic-Drafting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Letter-Gothic-Upper-Drafting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060123" w14:textId="77777777" w:rsidR="00EB57E1" w:rsidRDefault="00EB57E1">
      <w:r>
        <w:separator/>
      </w:r>
    </w:p>
  </w:footnote>
  <w:footnote w:type="continuationSeparator" w:id="0">
    <w:p w14:paraId="14AAE8F3" w14:textId="77777777" w:rsidR="00EB57E1" w:rsidRDefault="00EB57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D61A2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FFFFFF88"/>
    <w:multiLevelType w:val="singleLevel"/>
    <w:tmpl w:val="65E21F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813252859">
    <w:abstractNumId w:val="1"/>
  </w:num>
  <w:num w:numId="2" w16cid:durableId="1716466335">
    <w:abstractNumId w:val="1"/>
  </w:num>
  <w:num w:numId="3" w16cid:durableId="1235167667">
    <w:abstractNumId w:val="0"/>
  </w:num>
  <w:num w:numId="4" w16cid:durableId="17972194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350"/>
    <w:rsid w:val="00151351"/>
    <w:rsid w:val="0016121D"/>
    <w:rsid w:val="00CD1350"/>
    <w:rsid w:val="00EB57E1"/>
    <w:rsid w:val="00F54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576DC62"/>
  <w15:chartTrackingRefBased/>
  <w15:docId w15:val="{4D3EB7B8-4E68-4617-987F-B2823D8C9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rFonts w:ascii="Letter-Gothic-Drafting" w:hAnsi="Letter-Gothic-Drafting"/>
      <w:b/>
      <w:snapToGrid w:val="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semiHidden/>
  </w:style>
  <w:style w:type="character" w:customStyle="1" w:styleId="AGENCY">
    <w:name w:val="AGENCY"/>
    <w:basedOn w:val="DefaultParagraphFont"/>
    <w:rPr>
      <w:noProof w:val="0"/>
      <w:lang w:val="en-US"/>
    </w:rPr>
  </w:style>
  <w:style w:type="paragraph" w:customStyle="1" w:styleId="BLK00-00">
    <w:name w:val="BLK 00-00"/>
    <w:basedOn w:val="Normal"/>
    <w:pPr>
      <w:widowControl/>
      <w:ind w:right="720"/>
    </w:pPr>
  </w:style>
  <w:style w:type="paragraph" w:customStyle="1" w:styleId="BLK06-00">
    <w:name w:val="BLK 06-00"/>
    <w:basedOn w:val="Normal"/>
    <w:pPr>
      <w:widowControl/>
      <w:ind w:right="720" w:firstLine="720"/>
    </w:pPr>
  </w:style>
  <w:style w:type="paragraph" w:customStyle="1" w:styleId="BLK06-06">
    <w:name w:val="BLK 06-06"/>
    <w:basedOn w:val="Normal"/>
    <w:pPr>
      <w:ind w:left="720" w:right="720"/>
    </w:pPr>
  </w:style>
  <w:style w:type="paragraph" w:customStyle="1" w:styleId="BLK06-12">
    <w:name w:val="BLK 06-12"/>
    <w:basedOn w:val="Normal"/>
    <w:pPr>
      <w:widowControl/>
      <w:ind w:left="1440" w:right="720" w:hanging="720"/>
    </w:pPr>
  </w:style>
  <w:style w:type="paragraph" w:customStyle="1" w:styleId="BLK06-14">
    <w:name w:val="BLK 06-14"/>
    <w:basedOn w:val="Normal"/>
    <w:pPr>
      <w:widowControl/>
      <w:ind w:left="1685" w:right="720" w:hanging="965"/>
    </w:pPr>
  </w:style>
  <w:style w:type="paragraph" w:customStyle="1" w:styleId="BLK06-17">
    <w:name w:val="BLK 06-17"/>
    <w:basedOn w:val="Normal"/>
    <w:pPr>
      <w:widowControl/>
      <w:ind w:left="2040" w:right="720" w:hanging="1320"/>
    </w:pPr>
  </w:style>
  <w:style w:type="paragraph" w:customStyle="1" w:styleId="BLK06-18">
    <w:name w:val="BLK 06-18"/>
    <w:basedOn w:val="Normal"/>
    <w:pPr>
      <w:widowControl/>
      <w:ind w:left="2160" w:right="720" w:hanging="1440"/>
    </w:pPr>
  </w:style>
  <w:style w:type="paragraph" w:customStyle="1" w:styleId="BLK06-19">
    <w:name w:val="BLK 06-19"/>
    <w:basedOn w:val="Normal"/>
    <w:pPr>
      <w:widowControl/>
      <w:ind w:left="2275" w:right="720" w:hanging="1555"/>
    </w:pPr>
  </w:style>
  <w:style w:type="paragraph" w:customStyle="1" w:styleId="BLK06-20">
    <w:name w:val="BLK 06-20"/>
    <w:basedOn w:val="Normal"/>
    <w:pPr>
      <w:widowControl/>
      <w:ind w:left="2405" w:right="720" w:hanging="1685"/>
    </w:pPr>
  </w:style>
  <w:style w:type="paragraph" w:customStyle="1" w:styleId="BLK06-21">
    <w:name w:val="BLK 06-21"/>
    <w:basedOn w:val="Normal"/>
    <w:pPr>
      <w:ind w:left="2520" w:right="720" w:hanging="1800"/>
    </w:pPr>
  </w:style>
  <w:style w:type="paragraph" w:customStyle="1" w:styleId="BLK11-06">
    <w:name w:val="BLK 11-06"/>
    <w:basedOn w:val="Normal"/>
    <w:pPr>
      <w:widowControl/>
      <w:ind w:left="720" w:right="720" w:firstLine="605"/>
    </w:pPr>
  </w:style>
  <w:style w:type="paragraph" w:customStyle="1" w:styleId="BLK12-06">
    <w:name w:val="BLK 12-06"/>
    <w:basedOn w:val="Normal"/>
    <w:pPr>
      <w:widowControl/>
      <w:ind w:left="720" w:right="720" w:firstLine="720"/>
    </w:pPr>
  </w:style>
  <w:style w:type="paragraph" w:customStyle="1" w:styleId="BLK12-24">
    <w:name w:val="BLK 12-24"/>
    <w:basedOn w:val="Normal"/>
    <w:pPr>
      <w:widowControl/>
      <w:ind w:left="2880" w:right="720" w:hanging="1440"/>
    </w:pPr>
  </w:style>
  <w:style w:type="paragraph" w:customStyle="1" w:styleId="BLK12-27">
    <w:name w:val="BLK 12-27"/>
    <w:basedOn w:val="Normal"/>
    <w:pPr>
      <w:widowControl/>
      <w:ind w:left="3240" w:right="720" w:hanging="1800"/>
    </w:pPr>
  </w:style>
  <w:style w:type="paragraph" w:customStyle="1" w:styleId="BLK18-12">
    <w:name w:val="BLK 18-12"/>
    <w:basedOn w:val="Normal"/>
    <w:pPr>
      <w:widowControl/>
      <w:ind w:left="1440" w:right="1440" w:firstLine="720"/>
    </w:pPr>
  </w:style>
  <w:style w:type="paragraph" w:customStyle="1" w:styleId="BLK18-30">
    <w:name w:val="BLK 18-30"/>
    <w:basedOn w:val="Normal"/>
    <w:pPr>
      <w:widowControl/>
      <w:ind w:left="4320" w:right="720" w:hanging="2160"/>
    </w:pPr>
  </w:style>
  <w:style w:type="paragraph" w:customStyle="1" w:styleId="BLK35-35">
    <w:name w:val="BLK 35-35"/>
    <w:basedOn w:val="Normal"/>
    <w:pPr>
      <w:widowControl/>
      <w:ind w:left="4205" w:right="720"/>
    </w:pPr>
  </w:style>
  <w:style w:type="paragraph" w:styleId="BlockText">
    <w:name w:val="Block Text"/>
    <w:basedOn w:val="Normal"/>
    <w:pPr>
      <w:widowControl/>
      <w:tabs>
        <w:tab w:val="left" w:pos="0"/>
        <w:tab w:val="left" w:pos="720"/>
        <w:tab w:val="left" w:pos="1440"/>
      </w:tabs>
      <w:ind w:left="720" w:right="720" w:firstLine="720"/>
    </w:pPr>
    <w:rPr>
      <w:rFonts w:ascii="Letter-Gothic-Upper-Drafting" w:hAnsi="Letter-Gothic-Upper-Drafting"/>
    </w:rPr>
  </w:style>
  <w:style w:type="character" w:customStyle="1" w:styleId="BNUM">
    <w:name w:val="BNUM"/>
    <w:basedOn w:val="DefaultParagraphFont"/>
    <w:rPr>
      <w:rFonts w:ascii="Arial" w:hAnsi="Arial"/>
      <w:sz w:val="48"/>
    </w:rPr>
  </w:style>
  <w:style w:type="paragraph" w:styleId="BodyText">
    <w:name w:val="Body Text"/>
    <w:basedOn w:val="Normal"/>
    <w:pPr>
      <w:widowControl/>
      <w:suppressLineNumbers/>
    </w:pPr>
  </w:style>
  <w:style w:type="paragraph" w:styleId="BodyTextIndent">
    <w:name w:val="Body Text Indent"/>
    <w:basedOn w:val="Normal"/>
    <w:pPr>
      <w:widowControl/>
      <w:tabs>
        <w:tab w:val="left" w:pos="0"/>
        <w:tab w:val="left" w:pos="720"/>
      </w:tabs>
      <w:ind w:firstLine="720"/>
    </w:pPr>
  </w:style>
  <w:style w:type="character" w:styleId="CommentReference">
    <w:name w:val="annotation reference"/>
    <w:basedOn w:val="DefaultParagraphFont"/>
    <w:semiHidden/>
    <w:rPr>
      <w:sz w:val="16"/>
    </w:rPr>
  </w:style>
  <w:style w:type="paragraph" w:styleId="CommentText">
    <w:name w:val="annotation text"/>
    <w:basedOn w:val="Normal"/>
    <w:semiHidden/>
  </w:style>
  <w:style w:type="paragraph" w:customStyle="1" w:styleId="CON12-06">
    <w:name w:val="CON 12-06"/>
    <w:basedOn w:val="Normal"/>
    <w:pPr>
      <w:widowControl/>
      <w:ind w:left="720" w:right="720" w:firstLine="720"/>
    </w:pPr>
  </w:style>
  <w:style w:type="paragraph" w:customStyle="1" w:styleId="CON12-18">
    <w:name w:val="CON 12-18"/>
    <w:basedOn w:val="Normal"/>
    <w:pPr>
      <w:widowControl/>
      <w:ind w:left="2160" w:right="720" w:hanging="720"/>
    </w:pPr>
  </w:style>
  <w:style w:type="paragraph" w:customStyle="1" w:styleId="CON12-19">
    <w:name w:val="CON 12-19"/>
    <w:basedOn w:val="Normal"/>
    <w:pPr>
      <w:widowControl/>
      <w:ind w:left="2275" w:right="720" w:hanging="835"/>
    </w:pPr>
  </w:style>
  <w:style w:type="paragraph" w:customStyle="1" w:styleId="CON12-20">
    <w:name w:val="CON 12-20"/>
    <w:basedOn w:val="Normal"/>
    <w:pPr>
      <w:widowControl/>
      <w:ind w:left="2405" w:right="720" w:hanging="965"/>
    </w:pPr>
  </w:style>
  <w:style w:type="paragraph" w:customStyle="1" w:styleId="CON12-22">
    <w:name w:val="CON 12-22"/>
    <w:basedOn w:val="Normal"/>
    <w:pPr>
      <w:widowControl/>
      <w:ind w:left="2635" w:right="720" w:hanging="1195"/>
    </w:pPr>
  </w:style>
  <w:style w:type="paragraph" w:customStyle="1" w:styleId="CON12-23">
    <w:name w:val="CON 12-23"/>
    <w:basedOn w:val="Normal"/>
    <w:pPr>
      <w:widowControl/>
      <w:ind w:left="2765" w:right="720" w:hanging="1325"/>
    </w:pPr>
  </w:style>
  <w:style w:type="paragraph" w:customStyle="1" w:styleId="CON12-24">
    <w:name w:val="CON 12-24"/>
    <w:basedOn w:val="Normal"/>
    <w:pPr>
      <w:widowControl/>
      <w:ind w:left="2880" w:right="720" w:hanging="1440"/>
    </w:pPr>
  </w:style>
  <w:style w:type="paragraph" w:customStyle="1" w:styleId="CON12-25">
    <w:name w:val="CON 12-25"/>
    <w:basedOn w:val="Normal"/>
    <w:pPr>
      <w:widowControl/>
      <w:ind w:left="2995" w:right="720" w:hanging="1555"/>
    </w:pPr>
  </w:style>
  <w:style w:type="paragraph" w:customStyle="1" w:styleId="CON12-26">
    <w:name w:val="CON 12-26"/>
    <w:basedOn w:val="Normal"/>
    <w:pPr>
      <w:widowControl/>
      <w:ind w:left="3125" w:right="720" w:hanging="1685"/>
    </w:pPr>
  </w:style>
  <w:style w:type="paragraph" w:customStyle="1" w:styleId="CON12-27">
    <w:name w:val="CON 12-27"/>
    <w:basedOn w:val="Normal"/>
    <w:pPr>
      <w:widowControl/>
      <w:ind w:left="3240" w:right="720" w:hanging="1800"/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FootnoteReference">
    <w:name w:val="footnote reference"/>
    <w:semiHidden/>
  </w:style>
  <w:style w:type="paragraph" w:styleId="Header">
    <w:name w:val="header"/>
    <w:basedOn w:val="Normal"/>
  </w:style>
  <w:style w:type="character" w:customStyle="1" w:styleId="INTRO">
    <w:name w:val="INTRO"/>
    <w:basedOn w:val="DefaultParagraphFont"/>
    <w:rPr>
      <w:noProof w:val="0"/>
      <w:lang w:val="en-US"/>
    </w:rPr>
  </w:style>
  <w:style w:type="paragraph" w:customStyle="1" w:styleId="JUSTIFYCENTER">
    <w:name w:val="JUSTIFY CENTER"/>
    <w:basedOn w:val="Normal"/>
    <w:pPr>
      <w:widowControl/>
      <w:jc w:val="center"/>
    </w:pPr>
  </w:style>
  <w:style w:type="paragraph" w:customStyle="1" w:styleId="JUSTIFYFULL">
    <w:name w:val="JUSTIFY FULL"/>
    <w:basedOn w:val="Normal"/>
  </w:style>
  <w:style w:type="paragraph" w:customStyle="1" w:styleId="JUSTIFYRIGHT">
    <w:name w:val="JUSTIFY RIGHT"/>
    <w:basedOn w:val="Normal"/>
    <w:pPr>
      <w:widowControl/>
      <w:jc w:val="right"/>
    </w:pPr>
  </w:style>
  <w:style w:type="character" w:styleId="LineNumber">
    <w:name w:val="line number"/>
    <w:basedOn w:val="DefaultParagraphFont"/>
  </w:style>
  <w:style w:type="character" w:customStyle="1" w:styleId="O">
    <w:name w:val="O"/>
    <w:basedOn w:val="DefaultParagraphFont"/>
    <w:rPr>
      <w:strike/>
      <w:dstrike w:val="0"/>
      <w:noProof w:val="0"/>
      <w:color w:val="FF0000"/>
      <w:lang w:val="en-US"/>
    </w:rPr>
  </w:style>
  <w:style w:type="paragraph" w:customStyle="1" w:styleId="P00-00">
    <w:name w:val="P 00-00"/>
    <w:basedOn w:val="Normal"/>
    <w:pPr>
      <w:widowControl/>
    </w:pPr>
  </w:style>
  <w:style w:type="paragraph" w:customStyle="1" w:styleId="P00-06">
    <w:name w:val="P 00-06"/>
    <w:basedOn w:val="Normal"/>
    <w:pPr>
      <w:widowControl/>
      <w:ind w:left="720" w:hanging="720"/>
    </w:pPr>
  </w:style>
  <w:style w:type="paragraph" w:customStyle="1" w:styleId="P03-06">
    <w:name w:val="P 03-06"/>
    <w:basedOn w:val="Normal"/>
    <w:pPr>
      <w:widowControl/>
      <w:ind w:left="720" w:hanging="360"/>
    </w:pPr>
  </w:style>
  <w:style w:type="paragraph" w:customStyle="1" w:styleId="P04-00">
    <w:name w:val="P 04-00"/>
    <w:basedOn w:val="Normal"/>
    <w:pPr>
      <w:widowControl/>
      <w:ind w:firstLine="475"/>
    </w:pPr>
  </w:style>
  <w:style w:type="paragraph" w:customStyle="1" w:styleId="P05-00">
    <w:name w:val="P 05-00"/>
    <w:basedOn w:val="Normal"/>
    <w:pPr>
      <w:widowControl/>
      <w:ind w:firstLine="605"/>
    </w:pPr>
  </w:style>
  <w:style w:type="paragraph" w:customStyle="1" w:styleId="P06-00">
    <w:name w:val="P 06-00"/>
    <w:basedOn w:val="Normal"/>
    <w:pPr>
      <w:widowControl/>
      <w:ind w:firstLine="720"/>
    </w:pPr>
  </w:style>
  <w:style w:type="paragraph" w:customStyle="1" w:styleId="P06-06">
    <w:name w:val="P 06-06"/>
    <w:basedOn w:val="Normal"/>
    <w:pPr>
      <w:widowControl/>
      <w:ind w:left="720"/>
    </w:pPr>
  </w:style>
  <w:style w:type="paragraph" w:customStyle="1" w:styleId="P06-07">
    <w:name w:val="P 06-07"/>
    <w:basedOn w:val="Normal"/>
    <w:pPr>
      <w:widowControl/>
      <w:ind w:left="835" w:hanging="115"/>
    </w:pPr>
  </w:style>
  <w:style w:type="paragraph" w:customStyle="1" w:styleId="P06-10">
    <w:name w:val="P 06-10"/>
    <w:basedOn w:val="Normal"/>
    <w:pPr>
      <w:widowControl/>
      <w:ind w:left="1195" w:hanging="475"/>
    </w:pPr>
  </w:style>
  <w:style w:type="paragraph" w:customStyle="1" w:styleId="P06-11">
    <w:name w:val="P 06-11"/>
    <w:basedOn w:val="Normal"/>
    <w:pPr>
      <w:widowControl/>
      <w:ind w:left="1325" w:hanging="605"/>
    </w:pPr>
  </w:style>
  <w:style w:type="paragraph" w:customStyle="1" w:styleId="P06-12">
    <w:name w:val="P 06-12"/>
    <w:basedOn w:val="Normal"/>
    <w:pPr>
      <w:widowControl/>
      <w:ind w:left="1440" w:hanging="720"/>
    </w:pPr>
  </w:style>
  <w:style w:type="paragraph" w:customStyle="1" w:styleId="P06-17">
    <w:name w:val="P 06-17"/>
    <w:basedOn w:val="Normal"/>
    <w:pPr>
      <w:widowControl/>
      <w:ind w:left="2045" w:hanging="1325"/>
    </w:pPr>
  </w:style>
  <w:style w:type="paragraph" w:customStyle="1" w:styleId="P06-18">
    <w:name w:val="P 06-18"/>
    <w:basedOn w:val="Normal"/>
    <w:pPr>
      <w:widowControl/>
      <w:ind w:left="2160" w:hanging="1440"/>
    </w:pPr>
  </w:style>
  <w:style w:type="paragraph" w:customStyle="1" w:styleId="P06-20">
    <w:name w:val="P 06-20"/>
    <w:basedOn w:val="Normal"/>
    <w:pPr>
      <w:widowControl/>
      <w:ind w:left="2405" w:hanging="1685"/>
    </w:pPr>
  </w:style>
  <w:style w:type="paragraph" w:customStyle="1" w:styleId="P06-21">
    <w:name w:val="P 06-21"/>
    <w:basedOn w:val="Normal"/>
    <w:pPr>
      <w:widowControl/>
      <w:ind w:left="2520" w:hanging="1800"/>
    </w:pPr>
  </w:style>
  <w:style w:type="paragraph" w:customStyle="1" w:styleId="P09-12">
    <w:name w:val="P 09-12"/>
    <w:basedOn w:val="Normal"/>
    <w:pPr>
      <w:widowControl/>
      <w:ind w:left="1440" w:hanging="360"/>
    </w:pPr>
  </w:style>
  <w:style w:type="paragraph" w:customStyle="1" w:styleId="P10-10">
    <w:name w:val="P 10-10"/>
    <w:basedOn w:val="Normal"/>
    <w:pPr>
      <w:widowControl/>
      <w:ind w:left="1195"/>
    </w:pPr>
  </w:style>
  <w:style w:type="paragraph" w:customStyle="1" w:styleId="P11-06">
    <w:name w:val="P 11-06"/>
    <w:basedOn w:val="Normal"/>
    <w:pPr>
      <w:widowControl/>
      <w:ind w:left="720" w:firstLine="605"/>
    </w:pPr>
  </w:style>
  <w:style w:type="paragraph" w:customStyle="1" w:styleId="P12-06">
    <w:name w:val="P 12-06"/>
    <w:basedOn w:val="Normal"/>
    <w:pPr>
      <w:widowControl/>
      <w:ind w:left="720" w:firstLine="720"/>
    </w:pPr>
  </w:style>
  <w:style w:type="paragraph" w:customStyle="1" w:styleId="P12-18">
    <w:name w:val="P 12-18"/>
    <w:basedOn w:val="Normal"/>
    <w:pPr>
      <w:widowControl/>
      <w:ind w:left="2160" w:hanging="720"/>
    </w:pPr>
  </w:style>
  <w:style w:type="character" w:styleId="PageNumber">
    <w:name w:val="page number"/>
    <w:basedOn w:val="DefaultParagraphFont"/>
  </w:style>
  <w:style w:type="character" w:customStyle="1" w:styleId="RTITLE">
    <w:name w:val="RTITLE"/>
    <w:rPr>
      <w:color w:val="FF0000"/>
    </w:rPr>
  </w:style>
  <w:style w:type="paragraph" w:customStyle="1" w:styleId="SEC06-16">
    <w:name w:val="SEC 06-16"/>
    <w:basedOn w:val="Normal"/>
    <w:pPr>
      <w:widowControl/>
      <w:ind w:left="1915" w:right="720" w:hanging="1195"/>
    </w:pPr>
  </w:style>
  <w:style w:type="paragraph" w:customStyle="1" w:styleId="SEC06-17">
    <w:name w:val="SEC 06-17"/>
    <w:basedOn w:val="Normal"/>
    <w:pPr>
      <w:widowControl/>
      <w:ind w:left="2045" w:right="720" w:hanging="1325"/>
    </w:pPr>
  </w:style>
  <w:style w:type="paragraph" w:customStyle="1" w:styleId="SEC06-18">
    <w:name w:val="SEC 06-18"/>
    <w:basedOn w:val="Normal"/>
    <w:pPr>
      <w:widowControl/>
      <w:ind w:left="2160" w:right="720" w:hanging="1440"/>
    </w:pPr>
  </w:style>
  <w:style w:type="paragraph" w:customStyle="1" w:styleId="SEC06-19">
    <w:name w:val="SEC 06-19"/>
    <w:basedOn w:val="Normal"/>
    <w:pPr>
      <w:widowControl/>
      <w:ind w:left="2275" w:right="720" w:hanging="1555"/>
    </w:pPr>
  </w:style>
  <w:style w:type="paragraph" w:customStyle="1" w:styleId="SEC06-20">
    <w:name w:val="SEC 06-20"/>
    <w:basedOn w:val="Normal"/>
    <w:pPr>
      <w:widowControl/>
      <w:ind w:left="2405" w:right="720" w:hanging="1685"/>
    </w:pPr>
  </w:style>
  <w:style w:type="paragraph" w:customStyle="1" w:styleId="SEC06-21">
    <w:name w:val="SEC 06-21"/>
    <w:basedOn w:val="Normal"/>
    <w:pPr>
      <w:widowControl/>
      <w:ind w:left="2520" w:right="720" w:hanging="1800"/>
    </w:pPr>
  </w:style>
  <w:style w:type="paragraph" w:customStyle="1" w:styleId="SEC06-22">
    <w:name w:val="SEC 06-22"/>
    <w:basedOn w:val="Normal"/>
    <w:pPr>
      <w:widowControl/>
      <w:ind w:left="2635" w:right="720" w:hanging="1915"/>
    </w:pPr>
  </w:style>
  <w:style w:type="paragraph" w:customStyle="1" w:styleId="SEC06-34">
    <w:name w:val="SEC 06-34"/>
    <w:basedOn w:val="Normal"/>
    <w:pPr>
      <w:widowControl/>
      <w:ind w:left="4075" w:right="720" w:hanging="3355"/>
    </w:pPr>
  </w:style>
  <w:style w:type="paragraph" w:customStyle="1" w:styleId="SEC06-37">
    <w:name w:val="SEC 06-37"/>
    <w:basedOn w:val="Normal"/>
    <w:pPr>
      <w:widowControl/>
      <w:ind w:left="4435" w:right="720" w:hanging="3715"/>
    </w:pPr>
  </w:style>
  <w:style w:type="paragraph" w:customStyle="1" w:styleId="SEC12-18">
    <w:name w:val="SEC 12-18"/>
    <w:basedOn w:val="Normal"/>
    <w:pPr>
      <w:widowControl/>
      <w:ind w:left="2160" w:right="720" w:hanging="720"/>
    </w:pPr>
  </w:style>
  <w:style w:type="character" w:customStyle="1" w:styleId="SECHEAD">
    <w:name w:val="SECHEAD"/>
    <w:basedOn w:val="DefaultParagraphFont"/>
    <w:rPr>
      <w:color w:val="800080"/>
      <w:u w:val="single"/>
    </w:rPr>
  </w:style>
  <w:style w:type="character" w:customStyle="1" w:styleId="SNUM">
    <w:name w:val="SNUM"/>
    <w:basedOn w:val="DefaultParagraphFont"/>
    <w:rPr>
      <w:color w:val="008000"/>
    </w:rPr>
  </w:style>
  <w:style w:type="character" w:customStyle="1" w:styleId="SPONSORS">
    <w:name w:val="SPONSORS"/>
  </w:style>
  <w:style w:type="character" w:customStyle="1" w:styleId="TITLE">
    <w:name w:val="TITLE"/>
    <w:basedOn w:val="DefaultParagraphFont"/>
    <w:rPr>
      <w:caps/>
      <w:color w:val="0000FF"/>
    </w:rPr>
  </w:style>
  <w:style w:type="character" w:customStyle="1" w:styleId="UP">
    <w:name w:val="UP"/>
    <w:basedOn w:val="DefaultParagraphFont"/>
    <w:rPr>
      <w:caps/>
      <w:noProof w:val="0"/>
      <w:color w:val="0000FF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\statute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statutes.dot</Template>
  <TotalTime>0</TotalTime>
  <Pages>1</Pages>
  <Words>61</Words>
  <Characters>306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EXPLANATION OF BLEND</vt:lpstr>
    </vt:vector>
  </TitlesOfParts>
  <Company>LCS</Company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12-530; Home inspector liability; four year limitation</dc:title>
  <dc:subject>Home inspector liability; four year limitation</dc:subject>
  <dc:creator>Arizona Legislative Council</dc:creator>
  <cp:keywords/>
  <dc:description>0068.doc - 502R - 2012</dc:description>
  <cp:lastModifiedBy>dbupdate</cp:lastModifiedBy>
  <cp:revision>2</cp:revision>
  <cp:lastPrinted>1601-01-01T00:00:00Z</cp:lastPrinted>
  <dcterms:created xsi:type="dcterms:W3CDTF">2026-09-09T01:02:00Z</dcterms:created>
  <dcterms:modified xsi:type="dcterms:W3CDTF">2026-09-09T01:02:00Z</dcterms:modified>
</cp:coreProperties>
</file>