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317D7" w14:textId="77777777" w:rsidR="006A56F0" w:rsidRPr="00F566FE" w:rsidRDefault="006A56F0" w:rsidP="006A56F0">
      <w:pPr>
        <w:pStyle w:val="SEC06-17"/>
        <w:rPr>
          <w:rFonts w:ascii="Courier New" w:hAnsi="Courier New"/>
        </w:rPr>
      </w:pPr>
      <w:r w:rsidRPr="00F566FE">
        <w:rPr>
          <w:rFonts w:ascii="Courier New" w:hAnsi="Courier New"/>
          <w:vanish/>
        </w:rPr>
        <w:fldChar w:fldCharType="begin"/>
      </w:r>
      <w:r w:rsidRPr="00F566FE">
        <w:rPr>
          <w:rFonts w:ascii="Courier New" w:hAnsi="Courier New"/>
          <w:vanish/>
        </w:rPr>
        <w:instrText xml:space="preserve"> COMMENTS START_STATUTE \* MERGEFORMAT </w:instrText>
      </w:r>
      <w:r w:rsidRPr="00F566FE">
        <w:rPr>
          <w:rFonts w:ascii="Courier New" w:hAnsi="Courier New"/>
          <w:vanish/>
        </w:rPr>
        <w:fldChar w:fldCharType="separate"/>
      </w:r>
      <w:r w:rsidRPr="00F566FE">
        <w:rPr>
          <w:rFonts w:ascii="Courier New" w:hAnsi="Courier New"/>
          <w:vanish/>
        </w:rPr>
        <w:t>START_STATUTE</w:t>
      </w:r>
      <w:r w:rsidRPr="00F566FE">
        <w:rPr>
          <w:rFonts w:ascii="Courier New" w:hAnsi="Courier New"/>
          <w:vanish/>
        </w:rPr>
        <w:fldChar w:fldCharType="end"/>
      </w:r>
      <w:r w:rsidRPr="00F566FE">
        <w:rPr>
          <w:rStyle w:val="SNUM"/>
          <w:rFonts w:ascii="Courier New" w:hAnsi="Courier New"/>
        </w:rPr>
        <w:t>12-511.</w:t>
      </w:r>
      <w:r w:rsidRPr="00F566FE">
        <w:rPr>
          <w:rFonts w:ascii="Courier New" w:hAnsi="Courier New"/>
        </w:rPr>
        <w:t>  </w:t>
      </w:r>
      <w:r w:rsidRPr="00F566FE">
        <w:rPr>
          <w:rStyle w:val="SECHEAD"/>
          <w:rFonts w:ascii="Courier New" w:hAnsi="Courier New"/>
        </w:rPr>
        <w:t>Civil action arising from criminal conduct; definitions</w:t>
      </w:r>
    </w:p>
    <w:p w14:paraId="06B69C3A" w14:textId="77777777" w:rsidR="006A56F0" w:rsidRPr="00F566FE" w:rsidRDefault="00902E43" w:rsidP="006A56F0">
      <w:pPr>
        <w:pStyle w:val="P06-00"/>
        <w:rPr>
          <w:rFonts w:ascii="Courier New" w:hAnsi="Courier New"/>
        </w:rPr>
      </w:pPr>
      <w:r w:rsidRPr="00F566FE">
        <w:rPr>
          <w:rFonts w:ascii="Courier New" w:hAnsi="Courier New"/>
        </w:rPr>
        <w:t>A.  Notwithstanding sections 12</w:t>
      </w:r>
      <w:r w:rsidRPr="00F566FE">
        <w:rPr>
          <w:rFonts w:ascii="Courier New" w:hAnsi="Courier New"/>
        </w:rPr>
        <w:noBreakHyphen/>
      </w:r>
      <w:r w:rsidR="006A56F0" w:rsidRPr="00F566FE">
        <w:rPr>
          <w:rFonts w:ascii="Courier New" w:hAnsi="Courier New"/>
        </w:rPr>
        <w:t>505 and 12</w:t>
      </w:r>
      <w:r w:rsidR="006A56F0" w:rsidRPr="00F566FE">
        <w:rPr>
          <w:rFonts w:ascii="Courier New" w:hAnsi="Courier New"/>
        </w:rPr>
        <w:noBreakHyphen/>
        <w:t>542, if a defendant is charged by a criminal complaint or indictment the statute of limitations for any civil cause of action that is brought by a victim against the defendant for criminal conduct against the victim is extended for one year from the final disposition of the criminal proceedings, regardless of whether the defendant is convicted of criminal conduct against the victim.</w:t>
      </w:r>
    </w:p>
    <w:p w14:paraId="26942022" w14:textId="77777777" w:rsidR="006A56F0" w:rsidRPr="00F566FE" w:rsidRDefault="006A56F0" w:rsidP="006A56F0">
      <w:pPr>
        <w:pStyle w:val="P06-00"/>
        <w:rPr>
          <w:rFonts w:ascii="Courier New" w:hAnsi="Courier New"/>
        </w:rPr>
      </w:pPr>
      <w:r w:rsidRPr="00F566FE">
        <w:rPr>
          <w:rFonts w:ascii="Courier New" w:hAnsi="Courier New"/>
        </w:rPr>
        <w:t>B.  There is no duty under a policy of insurance to defend or indemnify for any loss resulting from criminal conduct if the civil action is not commenced within the time period that would be applicable without any tolling or extension of the statute of limitations pursuant to this section.</w:t>
      </w:r>
    </w:p>
    <w:p w14:paraId="1BA181A2" w14:textId="77777777" w:rsidR="006A56F0" w:rsidRPr="00F566FE" w:rsidRDefault="006A56F0" w:rsidP="006A56F0">
      <w:pPr>
        <w:pStyle w:val="P06-00"/>
        <w:rPr>
          <w:rFonts w:ascii="Courier New" w:hAnsi="Courier New"/>
        </w:rPr>
      </w:pPr>
      <w:r w:rsidRPr="00F566FE">
        <w:rPr>
          <w:rFonts w:ascii="Courier New" w:hAnsi="Courier New"/>
        </w:rPr>
        <w:t>C.  This section does not toll or extend any statute of limitations applicable to a civil cause of action brought against the employer or former employer of any defendant who is subject to this section.</w:t>
      </w:r>
    </w:p>
    <w:p w14:paraId="1DF6F00E" w14:textId="77777777" w:rsidR="006A56F0" w:rsidRPr="00F566FE" w:rsidRDefault="006A56F0" w:rsidP="006A56F0">
      <w:pPr>
        <w:pStyle w:val="P06-00"/>
        <w:rPr>
          <w:rFonts w:ascii="Courier New" w:hAnsi="Courier New"/>
        </w:rPr>
      </w:pPr>
      <w:r w:rsidRPr="00F566FE">
        <w:rPr>
          <w:rFonts w:ascii="Courier New" w:hAnsi="Courier New"/>
        </w:rPr>
        <w:t>D.  This section does not shorten any other applicable tolling provisions.</w:t>
      </w:r>
    </w:p>
    <w:p w14:paraId="25641883" w14:textId="77777777" w:rsidR="006A56F0" w:rsidRPr="00F566FE" w:rsidRDefault="006A56F0" w:rsidP="006A56F0">
      <w:pPr>
        <w:pStyle w:val="P06-00"/>
        <w:rPr>
          <w:rFonts w:ascii="Courier New" w:hAnsi="Courier New"/>
        </w:rPr>
      </w:pPr>
      <w:r w:rsidRPr="00F566FE">
        <w:rPr>
          <w:rFonts w:ascii="Courier New" w:hAnsi="Courier New"/>
        </w:rPr>
        <w:t>E.  In any action brought pursuant to this section, the standard of proof is by the preponderance of the evidence.</w:t>
      </w:r>
    </w:p>
    <w:p w14:paraId="0C0D21C0" w14:textId="77777777" w:rsidR="006A56F0" w:rsidRPr="00F566FE" w:rsidRDefault="006A56F0" w:rsidP="006A56F0">
      <w:pPr>
        <w:pStyle w:val="P06-00"/>
        <w:rPr>
          <w:rFonts w:ascii="Courier New" w:hAnsi="Courier New"/>
        </w:rPr>
      </w:pPr>
      <w:r w:rsidRPr="00F566FE">
        <w:rPr>
          <w:rFonts w:ascii="Courier New" w:hAnsi="Courier New"/>
        </w:rPr>
        <w:t>F.  This section applies to all cases in which the victim files a civil action within one year after the final disposition of the defendant's criminal proceedings, regardless of when the defendant committed the criminal conduct.</w:t>
      </w:r>
    </w:p>
    <w:p w14:paraId="6ED47327" w14:textId="77777777" w:rsidR="006A56F0" w:rsidRPr="00F566FE" w:rsidRDefault="006A56F0" w:rsidP="006A56F0">
      <w:pPr>
        <w:pStyle w:val="P06-00"/>
        <w:rPr>
          <w:rFonts w:ascii="Courier New" w:hAnsi="Courier New"/>
        </w:rPr>
      </w:pPr>
      <w:r w:rsidRPr="00F566FE">
        <w:rPr>
          <w:rFonts w:ascii="Courier New" w:hAnsi="Courier New"/>
        </w:rPr>
        <w:t>G.  For the purposes of this section:</w:t>
      </w:r>
    </w:p>
    <w:p w14:paraId="6752860B" w14:textId="3BD15660" w:rsidR="006A56F0" w:rsidRPr="00F566FE" w:rsidRDefault="00F566FE" w:rsidP="006A56F0">
      <w:pPr>
        <w:pStyle w:val="P06-00"/>
        <w:rPr>
          <w:rFonts w:ascii="Courier New" w:hAnsi="Courier New"/>
        </w:rPr>
      </w:pPr>
      <w:r w:rsidRPr="00F566FE">
        <w:rPr>
          <w:rFonts w:ascii="Courier New" w:hAnsi="Courier New"/>
          <w:noProof/>
          <w:snapToGrid/>
        </w:rPr>
        <mc:AlternateContent>
          <mc:Choice Requires="wps">
            <w:drawing>
              <wp:anchor distT="0" distB="0" distL="114300" distR="114300" simplePos="0" relativeHeight="251657728" behindDoc="0" locked="0" layoutInCell="1" allowOverlap="1" wp14:anchorId="172ED652" wp14:editId="0AF6DEE3">
                <wp:simplePos x="0" y="0"/>
                <wp:positionH relativeFrom="column">
                  <wp:posOffset>-908685</wp:posOffset>
                </wp:positionH>
                <wp:positionV relativeFrom="paragraph">
                  <wp:posOffset>694690</wp:posOffset>
                </wp:positionV>
                <wp:extent cx="800100" cy="312420"/>
                <wp:effectExtent l="0" t="0" r="0" b="0"/>
                <wp:wrapNone/>
                <wp:docPr id="432338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1F6BD" w14:textId="77777777" w:rsidR="006A56F0" w:rsidRPr="009447CC" w:rsidRDefault="006A56F0" w:rsidP="006A56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ED652" id="_x0000_t202" coordsize="21600,21600" o:spt="202" path="m,l,21600r21600,l21600,xe">
                <v:stroke joinstyle="miter"/>
                <v:path gradientshapeok="t" o:connecttype="rect"/>
              </v:shapetype>
              <v:shape id="Text Box 6" o:spid="_x0000_s1026" type="#_x0000_t202" style="position:absolute;left:0;text-align:left;margin-left:-71.55pt;margin-top:54.7pt;width:63pt;height:2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" stroked="f">
                <v:textbox>
                  <w:txbxContent>
                    <w:p w14:paraId="4661F6BD" w14:textId="77777777" w:rsidR="006A56F0" w:rsidRPr="009447CC" w:rsidRDefault="006A56F0" w:rsidP="006A56F0"/>
                  </w:txbxContent>
                </v:textbox>
              </v:shape>
            </w:pict>
          </mc:Fallback>
        </mc:AlternateContent>
      </w:r>
      <w:r w:rsidR="006A56F0" w:rsidRPr="00F566FE">
        <w:rPr>
          <w:rFonts w:ascii="Courier New" w:hAnsi="Courier New"/>
        </w:rPr>
        <w:t>1.  "Civil cause of action" means any civil claim that the victim could have brought against the defendant for criminal conduct committed against the victim regardless of whether any of these incidents was criminally prosecuted.</w:t>
      </w:r>
    </w:p>
    <w:p w14:paraId="63ED3CF8" w14:textId="77777777" w:rsidR="006A56F0" w:rsidRPr="00F566FE" w:rsidRDefault="006A56F0" w:rsidP="006A56F0">
      <w:pPr>
        <w:pStyle w:val="P06-00"/>
        <w:keepNext/>
        <w:keepLines/>
        <w:rPr>
          <w:rFonts w:ascii="Courier New" w:hAnsi="Courier New"/>
        </w:rPr>
      </w:pPr>
      <w:r w:rsidRPr="00F566FE">
        <w:rPr>
          <w:rFonts w:ascii="Courier New" w:hAnsi="Courier New"/>
        </w:rPr>
        <w:t>2.  "Criminal conduct":</w:t>
      </w:r>
    </w:p>
    <w:p w14:paraId="1F48E24B" w14:textId="77777777" w:rsidR="006A56F0" w:rsidRPr="00F566FE" w:rsidRDefault="006A56F0" w:rsidP="006A56F0">
      <w:pPr>
        <w:pStyle w:val="P06-00"/>
        <w:keepNext/>
        <w:keepLines/>
        <w:rPr>
          <w:rFonts w:ascii="Courier New" w:hAnsi="Courier New"/>
        </w:rPr>
      </w:pPr>
      <w:r w:rsidRPr="00F566FE">
        <w:rPr>
          <w:rFonts w:ascii="Courier New" w:hAnsi="Courier New"/>
        </w:rPr>
        <w:t>(a)  Means any act, including all preparatory offenses, in violation of sectio</w:t>
      </w:r>
      <w:r w:rsidR="00395677" w:rsidRPr="00F566FE">
        <w:rPr>
          <w:rFonts w:ascii="Courier New" w:hAnsi="Courier New"/>
        </w:rPr>
        <w:t>n 13</w:t>
      </w:r>
      <w:r w:rsidR="00395677" w:rsidRPr="00F566FE">
        <w:rPr>
          <w:rFonts w:ascii="Courier New" w:hAnsi="Courier New"/>
        </w:rPr>
        <w:noBreakHyphen/>
        <w:t>1103, 13</w:t>
      </w:r>
      <w:r w:rsidR="00395677" w:rsidRPr="00F566FE">
        <w:rPr>
          <w:rFonts w:ascii="Courier New" w:hAnsi="Courier New"/>
        </w:rPr>
        <w:noBreakHyphen/>
        <w:t>1104, 13</w:t>
      </w:r>
      <w:r w:rsidR="00395677" w:rsidRPr="00F566FE">
        <w:rPr>
          <w:rFonts w:ascii="Courier New" w:hAnsi="Courier New"/>
        </w:rPr>
        <w:noBreakHyphen/>
        <w:t>1105, 13</w:t>
      </w:r>
      <w:r w:rsidR="00395677" w:rsidRPr="00F566FE">
        <w:rPr>
          <w:rFonts w:ascii="Courier New" w:hAnsi="Courier New"/>
        </w:rPr>
        <w:noBreakHyphen/>
      </w:r>
      <w:r w:rsidRPr="00F566FE">
        <w:rPr>
          <w:rFonts w:ascii="Courier New" w:hAnsi="Courier New"/>
        </w:rPr>
        <w:t>1202, 13</w:t>
      </w:r>
      <w:r w:rsidRPr="00F566FE">
        <w:rPr>
          <w:rFonts w:ascii="Courier New" w:hAnsi="Courier New"/>
        </w:rPr>
        <w:noBreakHyphen/>
        <w:t>1203, 13</w:t>
      </w:r>
      <w:r w:rsidRPr="00F566FE">
        <w:rPr>
          <w:rFonts w:ascii="Courier New" w:hAnsi="Courier New"/>
        </w:rPr>
        <w:noBreakHyphen/>
        <w:t>1204, 13</w:t>
      </w:r>
      <w:r w:rsidRPr="00F566FE">
        <w:rPr>
          <w:rFonts w:ascii="Courier New" w:hAnsi="Courier New"/>
        </w:rPr>
        <w:noBreakHyphen/>
        <w:t>1208, 13</w:t>
      </w:r>
      <w:r w:rsidRPr="00F566FE">
        <w:rPr>
          <w:rFonts w:ascii="Courier New" w:hAnsi="Courier New"/>
        </w:rPr>
        <w:noBreakHyphen/>
        <w:t>1304, 13</w:t>
      </w:r>
      <w:r w:rsidRPr="00F566FE">
        <w:rPr>
          <w:rFonts w:ascii="Courier New" w:hAnsi="Courier New"/>
        </w:rPr>
        <w:noBreakHyphen/>
        <w:t>1404, 13</w:t>
      </w:r>
      <w:r w:rsidRPr="00F566FE">
        <w:rPr>
          <w:rFonts w:ascii="Courier New" w:hAnsi="Courier New"/>
        </w:rPr>
        <w:noBreakHyphen/>
        <w:t>1405, 13</w:t>
      </w:r>
      <w:r w:rsidRPr="00F566FE">
        <w:rPr>
          <w:rFonts w:ascii="Courier New" w:hAnsi="Courier New"/>
        </w:rPr>
        <w:noBreakHyphen/>
        <w:t>1406, 13</w:t>
      </w:r>
      <w:r w:rsidRPr="00F566FE">
        <w:rPr>
          <w:rFonts w:ascii="Courier New" w:hAnsi="Courier New"/>
        </w:rPr>
        <w:noBreakHyphen/>
        <w:t>1410, 13</w:t>
      </w:r>
      <w:r w:rsidRPr="00F566FE">
        <w:rPr>
          <w:rFonts w:ascii="Courier New" w:hAnsi="Courier New"/>
        </w:rPr>
        <w:noBreakHyphen/>
        <w:t>1417, 13</w:t>
      </w:r>
      <w:r w:rsidRPr="00F566FE">
        <w:rPr>
          <w:rFonts w:ascii="Courier New" w:hAnsi="Courier New"/>
        </w:rPr>
        <w:noBreakHyphen/>
        <w:t>2314.04, 13</w:t>
      </w:r>
      <w:r w:rsidRPr="00F566FE">
        <w:rPr>
          <w:rFonts w:ascii="Courier New" w:hAnsi="Courier New"/>
        </w:rPr>
        <w:noBreakHyphen/>
      </w:r>
      <w:r w:rsidR="00395677" w:rsidRPr="00F566FE">
        <w:rPr>
          <w:rFonts w:ascii="Courier New" w:hAnsi="Courier New"/>
        </w:rPr>
        <w:t>2915, 13</w:t>
      </w:r>
      <w:r w:rsidR="00395677" w:rsidRPr="00F566FE">
        <w:rPr>
          <w:rFonts w:ascii="Courier New" w:hAnsi="Courier New"/>
        </w:rPr>
        <w:noBreakHyphen/>
        <w:t>2916, 13</w:t>
      </w:r>
      <w:r w:rsidR="00395677" w:rsidRPr="00F566FE">
        <w:rPr>
          <w:rFonts w:ascii="Courier New" w:hAnsi="Courier New"/>
        </w:rPr>
        <w:noBreakHyphen/>
        <w:t>2921, 13</w:t>
      </w:r>
      <w:r w:rsidR="00395677" w:rsidRPr="00F566FE">
        <w:rPr>
          <w:rFonts w:ascii="Courier New" w:hAnsi="Courier New"/>
        </w:rPr>
        <w:noBreakHyphen/>
        <w:t>2921.01, 13</w:t>
      </w:r>
      <w:r w:rsidR="00395677" w:rsidRPr="00F566FE">
        <w:rPr>
          <w:rFonts w:ascii="Courier New" w:hAnsi="Courier New"/>
        </w:rPr>
        <w:noBreakHyphen/>
      </w:r>
      <w:r w:rsidRPr="00F566FE">
        <w:rPr>
          <w:rFonts w:ascii="Courier New" w:hAnsi="Courier New"/>
        </w:rPr>
        <w:t>3019, 13</w:t>
      </w:r>
      <w:r w:rsidRPr="00F566FE">
        <w:rPr>
          <w:rFonts w:ascii="Courier New" w:hAnsi="Courier New"/>
        </w:rPr>
        <w:noBreakHyphen/>
        <w:t>3552, 13</w:t>
      </w:r>
      <w:r w:rsidRPr="00F566FE">
        <w:rPr>
          <w:rFonts w:ascii="Courier New" w:hAnsi="Courier New"/>
        </w:rPr>
        <w:noBreakHyphen/>
        <w:t>3553, 13</w:t>
      </w:r>
      <w:r w:rsidRPr="00F566FE">
        <w:rPr>
          <w:rFonts w:ascii="Courier New" w:hAnsi="Courier New"/>
        </w:rPr>
        <w:noBreakHyphen/>
        <w:t>3554, 13</w:t>
      </w:r>
      <w:r w:rsidRPr="00F566FE">
        <w:rPr>
          <w:rFonts w:ascii="Courier New" w:hAnsi="Courier New"/>
        </w:rPr>
        <w:noBreakHyphen/>
        <w:t>3601 or 13</w:t>
      </w:r>
      <w:r w:rsidRPr="00F566FE">
        <w:rPr>
          <w:rFonts w:ascii="Courier New" w:hAnsi="Courier New"/>
        </w:rPr>
        <w:noBreakHyphen/>
        <w:t>3601.02.</w:t>
      </w:r>
    </w:p>
    <w:p w14:paraId="4A1E15D0" w14:textId="77777777" w:rsidR="006A56F0" w:rsidRPr="00F566FE" w:rsidRDefault="006A56F0" w:rsidP="006A56F0">
      <w:pPr>
        <w:pStyle w:val="P06-00"/>
        <w:rPr>
          <w:rFonts w:ascii="Courier New" w:hAnsi="Courier New"/>
        </w:rPr>
      </w:pPr>
      <w:r w:rsidRPr="00F566FE">
        <w:rPr>
          <w:rFonts w:ascii="Courier New" w:hAnsi="Courier New"/>
        </w:rPr>
        <w:t>(b)  Includes any act involving sexual assault of a spouse that was committed before the effective date of this amendment to this section.</w:t>
      </w:r>
    </w:p>
    <w:p w14:paraId="7F3799BC" w14:textId="77777777" w:rsidR="006A56F0" w:rsidRPr="00F566FE" w:rsidRDefault="006A56F0" w:rsidP="006A56F0">
      <w:pPr>
        <w:pStyle w:val="P06-00"/>
        <w:rPr>
          <w:rFonts w:ascii="Courier New" w:hAnsi="Courier New"/>
        </w:rPr>
      </w:pPr>
      <w:r w:rsidRPr="00F566FE">
        <w:rPr>
          <w:rFonts w:ascii="Courier New" w:hAnsi="Courier New"/>
        </w:rPr>
        <w:t>3.  "Defendant" means a natural person.</w:t>
      </w:r>
    </w:p>
    <w:p w14:paraId="1311C4F3" w14:textId="77777777" w:rsidR="006A56F0" w:rsidRPr="00F566FE" w:rsidRDefault="006A56F0" w:rsidP="006A56F0">
      <w:pPr>
        <w:pStyle w:val="P06-00"/>
        <w:rPr>
          <w:rFonts w:ascii="Courier New" w:hAnsi="Courier New"/>
        </w:rPr>
      </w:pPr>
      <w:r w:rsidRPr="00F566FE">
        <w:rPr>
          <w:rFonts w:ascii="Courier New" w:hAnsi="Courier New"/>
        </w:rPr>
        <w:t>4.  "Final disposition" has the same meaning prescribed in sections 8</w:t>
      </w:r>
      <w:r w:rsidRPr="00F566FE">
        <w:rPr>
          <w:rFonts w:ascii="Courier New" w:hAnsi="Courier New"/>
        </w:rPr>
        <w:noBreakHyphen/>
        <w:t>382 and 13</w:t>
      </w:r>
      <w:r w:rsidRPr="00F566FE">
        <w:rPr>
          <w:rFonts w:ascii="Courier New" w:hAnsi="Courier New"/>
        </w:rPr>
        <w:noBreakHyphen/>
        <w:t>4401.</w:t>
      </w:r>
    </w:p>
    <w:p w14:paraId="2BBD574D" w14:textId="77777777" w:rsidR="006A56F0" w:rsidRPr="00F566FE" w:rsidRDefault="006A56F0" w:rsidP="006A56F0">
      <w:pPr>
        <w:pStyle w:val="P06-00"/>
        <w:rPr>
          <w:rFonts w:ascii="Courier New" w:hAnsi="Courier New"/>
        </w:rPr>
      </w:pPr>
      <w:r w:rsidRPr="00F566FE">
        <w:rPr>
          <w:rFonts w:ascii="Courier New" w:hAnsi="Courier New"/>
        </w:rPr>
        <w:t>5.  "Victim" has the same meaning prescribed in sections 8</w:t>
      </w:r>
      <w:r w:rsidRPr="00F566FE">
        <w:rPr>
          <w:rFonts w:ascii="Courier New" w:hAnsi="Courier New"/>
        </w:rPr>
        <w:noBreakHyphen/>
        <w:t>382 and 13</w:t>
      </w:r>
      <w:r w:rsidRPr="00F566FE">
        <w:rPr>
          <w:rFonts w:ascii="Courier New" w:hAnsi="Courier New"/>
        </w:rPr>
        <w:noBreakHyphen/>
        <w:t>4401.</w:t>
      </w:r>
      <w:r w:rsidRPr="00F566FE">
        <w:rPr>
          <w:rFonts w:ascii="Courier New" w:hAnsi="Courier New"/>
          <w:vanish/>
        </w:rPr>
        <w:fldChar w:fldCharType="begin"/>
      </w:r>
      <w:r w:rsidRPr="00F566FE">
        <w:rPr>
          <w:rFonts w:ascii="Courier New" w:hAnsi="Courier New"/>
          <w:vanish/>
        </w:rPr>
        <w:instrText xml:space="preserve"> COMMENTS END_STATUTE \* MERGEFORMAT </w:instrText>
      </w:r>
      <w:r w:rsidRPr="00F566FE">
        <w:rPr>
          <w:rFonts w:ascii="Courier New" w:hAnsi="Courier New"/>
          <w:vanish/>
        </w:rPr>
        <w:fldChar w:fldCharType="separate"/>
      </w:r>
      <w:r w:rsidRPr="00F566FE">
        <w:rPr>
          <w:rFonts w:ascii="Courier New" w:hAnsi="Courier New"/>
          <w:vanish/>
        </w:rPr>
        <w:t>END_STATUTE</w:t>
      </w:r>
      <w:r w:rsidRPr="00F566FE">
        <w:rPr>
          <w:rFonts w:ascii="Courier New" w:hAnsi="Courier New"/>
          <w:vanish/>
        </w:rPr>
        <w:fldChar w:fldCharType="end"/>
      </w:r>
    </w:p>
    <w:p w14:paraId="19CAE138" w14:textId="77777777" w:rsidR="00F540AD" w:rsidRPr="00F566FE" w:rsidRDefault="00F540AD">
      <w:pPr>
        <w:rPr>
          <w:rFonts w:ascii="Courier New" w:hAnsi="Courier New"/>
        </w:rPr>
      </w:pPr>
    </w:p>
    <w:sectPr w:rsidR="00F540AD" w:rsidRPr="00F566FE" w:rsidSect="00025B30">
      <w:headerReference w:type="default" r:id="rId7"/>
      <w:footerReference w:type="default" r:id="rId8"/>
      <w:type w:val="continuous"/>
      <w:pgSz w:w="12240" w:h="15840" w:code="1"/>
      <w:pgMar w:top="1440" w:right="1440" w:bottom="1440" w:left="187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0D770" w14:textId="77777777" w:rsidR="000F74B6" w:rsidRDefault="000F74B6">
      <w:r>
        <w:separator/>
      </w:r>
    </w:p>
  </w:endnote>
  <w:endnote w:type="continuationSeparator" w:id="0">
    <w:p w14:paraId="234ECA77" w14:textId="77777777" w:rsidR="000F74B6" w:rsidRDefault="000F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4BD8" w14:textId="77777777" w:rsidR="00E8509C" w:rsidRDefault="00E8509C">
    <w:pPr>
      <w:pStyle w:val="Footer"/>
      <w:jc w:val="center"/>
      <w:rPr>
        <w:b w:val="0"/>
      </w:rPr>
    </w:pPr>
    <w:r>
      <w:rPr>
        <w:rStyle w:val="PageNumber"/>
        <w:b w:val="0"/>
      </w:rPr>
      <w:t>-</w:t>
    </w:r>
    <w:r>
      <w:rPr>
        <w:rStyle w:val="PageNumber"/>
        <w:b w:val="0"/>
      </w:rPr>
      <w:fldChar w:fldCharType="begin"/>
    </w:r>
    <w:r>
      <w:rPr>
        <w:rStyle w:val="PageNumber"/>
        <w:b w:val="0"/>
      </w:rPr>
      <w:instrText xml:space="preserve"> PAGE </w:instrText>
    </w:r>
    <w:r>
      <w:rPr>
        <w:rStyle w:val="PageNumber"/>
        <w:b w:val="0"/>
      </w:rPr>
      <w:fldChar w:fldCharType="separate"/>
    </w:r>
    <w:r w:rsidR="006A56F0">
      <w:rPr>
        <w:rStyle w:val="PageNumber"/>
        <w:b w:val="0"/>
        <w:noProof/>
      </w:rPr>
      <w:t>2</w:t>
    </w:r>
    <w:r>
      <w:rPr>
        <w:rStyle w:val="PageNumber"/>
        <w:b w:val="0"/>
      </w:rPr>
      <w:fldChar w:fldCharType="end"/>
    </w:r>
    <w:r>
      <w:rPr>
        <w:rStyle w:val="PageNumber"/>
        <w:b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0CB5F" w14:textId="77777777" w:rsidR="000F74B6" w:rsidRDefault="000F74B6">
      <w:r>
        <w:separator/>
      </w:r>
    </w:p>
  </w:footnote>
  <w:footnote w:type="continuationSeparator" w:id="0">
    <w:p w14:paraId="6367B7D5" w14:textId="77777777" w:rsidR="000F74B6" w:rsidRDefault="000F7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A8E1" w14:textId="77777777" w:rsidR="00E8509C" w:rsidRDefault="00E85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23278989">
    <w:abstractNumId w:val="1"/>
  </w:num>
  <w:num w:numId="2" w16cid:durableId="258105734">
    <w:abstractNumId w:val="1"/>
  </w:num>
  <w:num w:numId="3" w16cid:durableId="171913620">
    <w:abstractNumId w:val="0"/>
  </w:num>
  <w:num w:numId="4" w16cid:durableId="738282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B30"/>
    <w:rsid w:val="00025B30"/>
    <w:rsid w:val="000F74B6"/>
    <w:rsid w:val="00370F6C"/>
    <w:rsid w:val="00395677"/>
    <w:rsid w:val="005B2DF0"/>
    <w:rsid w:val="006A56F0"/>
    <w:rsid w:val="00902E43"/>
    <w:rsid w:val="00E8509C"/>
    <w:rsid w:val="00F540AD"/>
    <w:rsid w:val="00F5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23C118"/>
  <w15:chartTrackingRefBased/>
  <w15:docId w15:val="{1642E539-CF4A-411A-B5D7-4BA30E28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383</Words>
  <Characters>2072</Characters>
  <Application>Microsoft Office Word</Application>
  <DocSecurity>0</DocSecurity>
  <Lines>42</Lines>
  <Paragraphs>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12-511; Civil action arising from criminal conduct; definitions</dc:title>
  <dc:subject>Civil action arising from criminal conduct; definitions</dc:subject>
  <dc:creator>Arizona Legislative Council</dc:creator>
  <cp:keywords/>
  <dc:description/>
  <cp:lastModifiedBy>dbupdate</cp:lastModifiedBy>
  <cp:revision>2</cp:revision>
  <cp:lastPrinted>2005-07-12T22:23:00Z</cp:lastPrinted>
  <dcterms:created xsi:type="dcterms:W3CDTF">2025-09-20T00:22:00Z</dcterms:created>
  <dcterms:modified xsi:type="dcterms:W3CDTF">2025-09-20T00:22:00Z</dcterms:modified>
</cp:coreProperties>
</file>