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AA43" w14:textId="77777777" w:rsidR="0019220E" w:rsidRPr="00BF10F6" w:rsidRDefault="0019220E" w:rsidP="0019220E">
      <w:pPr>
        <w:pStyle w:val="SEC06-18"/>
        <w:rPr>
          <w:rFonts w:ascii="Courier New" w:hAnsi="Courier New"/>
        </w:rPr>
      </w:pPr>
      <w:r w:rsidRPr="00BF10F6">
        <w:rPr>
          <w:rFonts w:ascii="Courier New" w:hAnsi="Courier New"/>
          <w:vanish/>
        </w:rPr>
        <w:fldChar w:fldCharType="begin"/>
      </w:r>
      <w:r w:rsidRPr="00BF10F6">
        <w:rPr>
          <w:rFonts w:ascii="Courier New" w:hAnsi="Courier New"/>
          <w:vanish/>
        </w:rPr>
        <w:instrText xml:space="preserve"> COMMENTS START_STATUTE \* MERGEFORMAT </w:instrText>
      </w:r>
      <w:r w:rsidRPr="00BF10F6">
        <w:rPr>
          <w:rFonts w:ascii="Courier New" w:hAnsi="Courier New"/>
          <w:vanish/>
        </w:rPr>
        <w:fldChar w:fldCharType="separate"/>
      </w:r>
      <w:r w:rsidRPr="00BF10F6">
        <w:rPr>
          <w:rFonts w:ascii="Courier New" w:hAnsi="Courier New"/>
          <w:vanish/>
        </w:rPr>
        <w:t>START_STATUTE</w:t>
      </w:r>
      <w:r w:rsidRPr="00BF10F6">
        <w:rPr>
          <w:rFonts w:ascii="Courier New" w:hAnsi="Courier New"/>
          <w:vanish/>
        </w:rPr>
        <w:fldChar w:fldCharType="end"/>
      </w:r>
      <w:r w:rsidRPr="00BF10F6">
        <w:rPr>
          <w:rStyle w:val="SNUM"/>
          <w:rFonts w:ascii="Courier New" w:hAnsi="Courier New"/>
        </w:rPr>
        <w:t>11-1134</w:t>
      </w:r>
      <w:r w:rsidRPr="00BF10F6">
        <w:rPr>
          <w:rFonts w:ascii="Courier New" w:hAnsi="Courier New"/>
        </w:rPr>
        <w:t>.  </w:t>
      </w:r>
      <w:r w:rsidRPr="00BF10F6">
        <w:rPr>
          <w:rStyle w:val="SECHEAD"/>
          <w:rFonts w:ascii="Courier New" w:hAnsi="Courier New"/>
        </w:rPr>
        <w:t>Exemptions</w:t>
      </w:r>
    </w:p>
    <w:p w14:paraId="609B983E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A.  The affidavit and fee required by this article do not apply to the following instruments:</w:t>
      </w:r>
    </w:p>
    <w:p w14:paraId="4C2C5C70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1.  A deed that represents the payment in full or forfeiture of a recorded contract for the sale of real property.</w:t>
      </w:r>
    </w:p>
    <w:p w14:paraId="5CE30D54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2.  A lease or easement on real property, regardless of the length of the term.</w:t>
      </w:r>
    </w:p>
    <w:p w14:paraId="0D8324CA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3.  A deed, patent or contract for the sale or transfer of real property in which an agency or representative of the United States, this state, a county, city or town of this state or any political subdivision of this state is the named grantor, and authorized seller, or purchaser.</w:t>
      </w:r>
    </w:p>
    <w:p w14:paraId="7B27019E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4.  A quitclaim deed to quiet title as described in section 12</w:t>
      </w:r>
      <w:r w:rsidRPr="00BF10F6">
        <w:rPr>
          <w:rFonts w:ascii="Courier New" w:hAnsi="Courier New"/>
        </w:rPr>
        <w:noBreakHyphen/>
        <w:t>1103, subsection B or otherwise executed for no monetary consideration.</w:t>
      </w:r>
    </w:p>
    <w:p w14:paraId="2275F8FF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5.  A conveyance of real property that is executed pursuant to a court order.</w:t>
      </w:r>
    </w:p>
    <w:p w14:paraId="22DE0603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6.  A deed to an unpatented mining claim.</w:t>
      </w:r>
    </w:p>
    <w:p w14:paraId="3A995D7C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7.  A deed of gift.</w:t>
      </w:r>
    </w:p>
    <w:p w14:paraId="28A420F6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B.  The affidavit and fee required by this article do not apply to a transfer of title:</w:t>
      </w:r>
    </w:p>
    <w:p w14:paraId="3B9138B6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1.  Solely in order to provide or release security for a debt or obligation, including a trustee's deed pursuant to power of sale under a deed of trust.</w:t>
      </w:r>
    </w:p>
    <w:p w14:paraId="4D397290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2.  That confirms or corrects a deed that was previously recorded.</w:t>
      </w:r>
    </w:p>
    <w:p w14:paraId="2FECCCFD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3.  When the transfer of title has only nominal actual consideration for the transfer of residential property</w:t>
      </w:r>
      <w:r w:rsidRPr="00BF10F6">
        <w:rPr>
          <w:rFonts w:ascii="Courier New" w:hAnsi="Courier New" w:cs="Letter-GothicBold"/>
          <w:bCs/>
          <w:snapToGrid/>
          <w:color w:val="0000FF"/>
        </w:rPr>
        <w:t xml:space="preserve"> </w:t>
      </w:r>
      <w:r w:rsidRPr="00BF10F6">
        <w:rPr>
          <w:rFonts w:ascii="Courier New" w:hAnsi="Courier New"/>
        </w:rPr>
        <w:t>between:</w:t>
      </w:r>
    </w:p>
    <w:p w14:paraId="2A80D51C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(a)  Husband and wife or ancestor of the husband and wife.</w:t>
      </w:r>
    </w:p>
    <w:p w14:paraId="2B7C6CCA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(b)  Parent and child, including natural or adopted children and their descendants.</w:t>
      </w:r>
    </w:p>
    <w:p w14:paraId="5F663E26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(c)  Grandparent and grandchild.</w:t>
      </w:r>
    </w:p>
    <w:p w14:paraId="706B1D8E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(d)  Natural or adopted siblings.</w:t>
      </w:r>
    </w:p>
    <w:p w14:paraId="5859C40D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4.  On a sale for delinquent taxes or assessments.</w:t>
      </w:r>
    </w:p>
    <w:p w14:paraId="06C2FD1E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5.  On partition.</w:t>
      </w:r>
    </w:p>
    <w:p w14:paraId="01752BF0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6.  Pursuant to a merger.</w:t>
      </w:r>
    </w:p>
    <w:p w14:paraId="072346F8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7.  For no consideration or nominal consideration:</w:t>
      </w:r>
    </w:p>
    <w:p w14:paraId="6F665516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a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By a subsidiary to its parent or from a parent to a subsidiary.</w:t>
      </w:r>
    </w:p>
    <w:p w14:paraId="43DB0CCA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b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Among commonly controlled entities.</w:t>
      </w:r>
    </w:p>
    <w:p w14:paraId="458670E2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c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From a member to its limited liability company or from a limited liability company to a member.</w:t>
      </w:r>
    </w:p>
    <w:p w14:paraId="51A55D3A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d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From a partner to its partnership.</w:t>
      </w:r>
    </w:p>
    <w:p w14:paraId="4FF64CB7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e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From a partnership to a partner.</w:t>
      </w:r>
    </w:p>
    <w:p w14:paraId="36E9EFBC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f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From a joint venturer to its joint venture.</w:t>
      </w:r>
    </w:p>
    <w:p w14:paraId="479EBE50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g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From a joint venture to a joint venturer.</w:t>
      </w:r>
    </w:p>
    <w:p w14:paraId="2FF7D3B0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h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From a trust beneficiary to its trustee.</w:t>
      </w:r>
    </w:p>
    <w:p w14:paraId="5180CB7F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i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From a trustee to its trust beneficiary.</w:t>
      </w:r>
    </w:p>
    <w:p w14:paraId="550BA8B1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  <w:snapToGrid/>
        </w:rPr>
        <w:t>(</w:t>
      </w:r>
      <w:r w:rsidRPr="00BF10F6">
        <w:rPr>
          <w:rFonts w:ascii="Courier New" w:hAnsi="Courier New"/>
          <w:snapToGrid/>
          <w:color w:val="000000"/>
        </w:rPr>
        <w:t>j</w:t>
      </w:r>
      <w:r w:rsidRPr="00BF10F6">
        <w:rPr>
          <w:rFonts w:ascii="Courier New" w:hAnsi="Courier New"/>
          <w:snapToGrid/>
        </w:rPr>
        <w:t>)  </w:t>
      </w:r>
      <w:r w:rsidRPr="00BF10F6">
        <w:rPr>
          <w:rFonts w:ascii="Courier New" w:hAnsi="Courier New"/>
        </w:rPr>
        <w:t>From any of the entities in subdivisions (a) through (i) of this paragraph to a single purpose entity in order to obtain financing.</w:t>
      </w:r>
    </w:p>
    <w:p w14:paraId="3B537B2C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8.  From a person to a trustee or from a trustee to a trust beneficiary with only nominal actual consideration for the transfer.</w:t>
      </w:r>
    </w:p>
    <w:p w14:paraId="0CA91DE8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>9.  To and from an intermediary for the purpose of creating a joint tenancy estate or some other form of ownership.</w:t>
      </w:r>
    </w:p>
    <w:p w14:paraId="4EECF55E" w14:textId="77777777" w:rsidR="0019220E" w:rsidRPr="00BF10F6" w:rsidRDefault="0019220E" w:rsidP="0019220E">
      <w:pPr>
        <w:pStyle w:val="P05-00"/>
        <w:rPr>
          <w:rFonts w:ascii="Courier New" w:hAnsi="Courier New"/>
        </w:rPr>
      </w:pPr>
      <w:r w:rsidRPr="00BF10F6">
        <w:rPr>
          <w:rFonts w:ascii="Courier New" w:hAnsi="Courier New"/>
        </w:rPr>
        <w:t>10.  From a husband and wife or one of them to both husband and wife to create an estate in community property with right of survivorship.</w:t>
      </w:r>
    </w:p>
    <w:p w14:paraId="738DF7CE" w14:textId="77777777" w:rsidR="0019220E" w:rsidRPr="00BF10F6" w:rsidRDefault="0019220E" w:rsidP="0019220E">
      <w:pPr>
        <w:pStyle w:val="P05-00"/>
        <w:rPr>
          <w:rFonts w:ascii="Courier New" w:hAnsi="Courier New"/>
        </w:rPr>
      </w:pPr>
      <w:r w:rsidRPr="00BF10F6">
        <w:rPr>
          <w:rFonts w:ascii="Courier New" w:hAnsi="Courier New"/>
        </w:rPr>
        <w:t>11.  From two or more persons to themselves to create an estate in joint tenancy with right of survivorship.</w:t>
      </w:r>
    </w:p>
    <w:p w14:paraId="28687FD1" w14:textId="77777777" w:rsidR="0019220E" w:rsidRPr="00BF10F6" w:rsidRDefault="0019220E" w:rsidP="0019220E">
      <w:pPr>
        <w:pStyle w:val="P05-00"/>
        <w:rPr>
          <w:rFonts w:ascii="Courier New" w:hAnsi="Courier New"/>
        </w:rPr>
      </w:pPr>
      <w:r w:rsidRPr="00BF10F6">
        <w:rPr>
          <w:rFonts w:ascii="Courier New" w:hAnsi="Courier New"/>
        </w:rPr>
        <w:t>12.  Pursuant to a beneficiary deed with only nominal actual consideration for the transfer.</w:t>
      </w:r>
    </w:p>
    <w:p w14:paraId="4BFC30A5" w14:textId="77777777" w:rsidR="0019220E" w:rsidRPr="00BF10F6" w:rsidRDefault="0019220E" w:rsidP="0019220E">
      <w:pPr>
        <w:pStyle w:val="P05-00"/>
        <w:rPr>
          <w:rFonts w:ascii="Courier New" w:hAnsi="Courier New"/>
        </w:rPr>
      </w:pPr>
      <w:r w:rsidRPr="00BF10F6">
        <w:rPr>
          <w:rFonts w:ascii="Courier New" w:hAnsi="Courier New"/>
        </w:rPr>
        <w:t>13.  From an owner to itself or a related entity for no or nominal consideration solely for the purpose of consolidating or splitting parcels.</w:t>
      </w:r>
    </w:p>
    <w:p w14:paraId="24E2FADE" w14:textId="77777777" w:rsidR="0019220E" w:rsidRPr="00BF10F6" w:rsidRDefault="0019220E" w:rsidP="0019220E">
      <w:pPr>
        <w:pStyle w:val="P05-00"/>
        <w:rPr>
          <w:rFonts w:ascii="Courier New" w:hAnsi="Courier New"/>
        </w:rPr>
      </w:pPr>
      <w:r w:rsidRPr="00BF10F6">
        <w:rPr>
          <w:rFonts w:ascii="Courier New" w:hAnsi="Courier New"/>
        </w:rPr>
        <w:t>14.  Due to a legal name change.</w:t>
      </w:r>
    </w:p>
    <w:p w14:paraId="32BED0B8" w14:textId="77777777" w:rsidR="0019220E" w:rsidRPr="00BF10F6" w:rsidRDefault="0019220E" w:rsidP="0019220E">
      <w:pPr>
        <w:pStyle w:val="P06-00"/>
        <w:rPr>
          <w:rFonts w:ascii="Courier New" w:hAnsi="Courier New"/>
        </w:rPr>
      </w:pPr>
      <w:r w:rsidRPr="00BF10F6">
        <w:rPr>
          <w:rFonts w:ascii="Courier New" w:hAnsi="Courier New"/>
        </w:rPr>
        <w:t xml:space="preserve">C.  Any instrument that describes a transaction that is exempt under this section shall note the exemption on the face of the instrument at the time of recording, indicating the specific exemption that is claimed. </w:t>
      </w:r>
      <w:r w:rsidRPr="00BF10F6">
        <w:rPr>
          <w:rFonts w:ascii="Courier New" w:hAnsi="Courier New"/>
          <w:vanish/>
        </w:rPr>
        <w:fldChar w:fldCharType="begin"/>
      </w:r>
      <w:r w:rsidRPr="00BF10F6">
        <w:rPr>
          <w:rFonts w:ascii="Courier New" w:hAnsi="Courier New"/>
          <w:vanish/>
        </w:rPr>
        <w:instrText xml:space="preserve"> COMMENTS END_STATUTE \* MERGEFORMAT </w:instrText>
      </w:r>
      <w:r w:rsidRPr="00BF10F6">
        <w:rPr>
          <w:rFonts w:ascii="Courier New" w:hAnsi="Courier New"/>
          <w:vanish/>
        </w:rPr>
        <w:fldChar w:fldCharType="separate"/>
      </w:r>
      <w:r w:rsidRPr="00BF10F6">
        <w:rPr>
          <w:rFonts w:ascii="Courier New" w:hAnsi="Courier New"/>
          <w:vanish/>
        </w:rPr>
        <w:t>END_STATUTE</w:t>
      </w:r>
      <w:r w:rsidRPr="00BF10F6">
        <w:rPr>
          <w:rFonts w:ascii="Courier New" w:hAnsi="Courier New"/>
          <w:vanish/>
        </w:rPr>
        <w:fldChar w:fldCharType="end"/>
      </w:r>
    </w:p>
    <w:p w14:paraId="5D59F3EA" w14:textId="77777777" w:rsidR="0019220E" w:rsidRPr="00BF10F6" w:rsidRDefault="0019220E" w:rsidP="0019220E">
      <w:pPr>
        <w:rPr>
          <w:rFonts w:ascii="Courier New" w:hAnsi="Courier New"/>
        </w:rPr>
      </w:pPr>
    </w:p>
    <w:sectPr w:rsidR="0019220E" w:rsidRPr="00BF10F6" w:rsidSect="0019220E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D31C" w14:textId="77777777" w:rsidR="00022391" w:rsidRDefault="00022391">
      <w:r>
        <w:separator/>
      </w:r>
    </w:p>
  </w:endnote>
  <w:endnote w:type="continuationSeparator" w:id="0">
    <w:p w14:paraId="342EB4B1" w14:textId="77777777" w:rsidR="00022391" w:rsidRDefault="000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etter-Gothic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4660" w14:textId="77777777" w:rsidR="00022391" w:rsidRDefault="00022391">
      <w:r>
        <w:separator/>
      </w:r>
    </w:p>
  </w:footnote>
  <w:footnote w:type="continuationSeparator" w:id="0">
    <w:p w14:paraId="6CB43B4B" w14:textId="77777777" w:rsidR="00022391" w:rsidRDefault="0002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08740221">
    <w:abstractNumId w:val="1"/>
  </w:num>
  <w:num w:numId="2" w16cid:durableId="1194146862">
    <w:abstractNumId w:val="1"/>
  </w:num>
  <w:num w:numId="3" w16cid:durableId="1896772602">
    <w:abstractNumId w:val="0"/>
  </w:num>
  <w:num w:numId="4" w16cid:durableId="6634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0E"/>
    <w:rsid w:val="00022391"/>
    <w:rsid w:val="0019220E"/>
    <w:rsid w:val="00BF10F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4B0A72"/>
  <w15:chartTrackingRefBased/>
  <w15:docId w15:val="{BEE4F3A9-24C6-48A1-A8EF-461F8CCE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586</Words>
  <Characters>2763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11-1134; Exemptions</dc:title>
  <dc:subject>Exemptions</dc:subject>
  <dc:creator>Arizona Legislative Council</dc:creator>
  <cp:keywords/>
  <dc:description>0229.doc - 502R - 2012</dc:description>
  <cp:lastModifiedBy>dbupdate</cp:lastModifiedBy>
  <cp:revision>2</cp:revision>
  <cp:lastPrinted>1601-01-01T00:00:00Z</cp:lastPrinted>
  <dcterms:created xsi:type="dcterms:W3CDTF">2025-09-19T23:48:00Z</dcterms:created>
  <dcterms:modified xsi:type="dcterms:W3CDTF">2025-09-19T23:48:00Z</dcterms:modified>
</cp:coreProperties>
</file>