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6B42" w14:textId="77777777" w:rsidR="00B221D3" w:rsidRPr="00405256" w:rsidRDefault="00F30157">
      <w:pPr>
        <w:pStyle w:val="SEC06-18"/>
        <w:rPr>
          <w:rFonts w:ascii="Courier New" w:hAnsi="Courier New"/>
          <w:noProof w:val="0"/>
        </w:rPr>
      </w:pPr>
      <w:r w:rsidRPr="00405256">
        <w:rPr>
          <w:rFonts w:ascii="Courier New" w:hAnsi="Courier New"/>
          <w:vanish/>
        </w:rPr>
        <w:fldChar w:fldCharType="begin"/>
      </w:r>
      <w:r w:rsidRPr="00405256">
        <w:rPr>
          <w:rFonts w:ascii="Courier New" w:hAnsi="Courier New"/>
          <w:vanish/>
        </w:rPr>
        <w:instrText xml:space="preserve"> COMMENTS START_STATUTE \* MERGEFORMAT </w:instrText>
      </w:r>
      <w:r w:rsidRPr="00405256">
        <w:rPr>
          <w:rFonts w:ascii="Courier New" w:hAnsi="Courier New"/>
          <w:vanish/>
        </w:rPr>
        <w:fldChar w:fldCharType="separate"/>
      </w:r>
      <w:r w:rsidRPr="00405256">
        <w:rPr>
          <w:rFonts w:ascii="Courier New" w:hAnsi="Courier New"/>
          <w:vanish/>
        </w:rPr>
        <w:t>START_STATUTE</w:t>
      </w:r>
      <w:r w:rsidRPr="00405256">
        <w:rPr>
          <w:rFonts w:ascii="Courier New" w:hAnsi="Courier New"/>
          <w:vanish/>
        </w:rPr>
        <w:fldChar w:fldCharType="end"/>
      </w:r>
      <w:r w:rsidR="00B221D3" w:rsidRPr="00405256">
        <w:rPr>
          <w:rStyle w:val="SNUM"/>
          <w:rFonts w:ascii="Courier New" w:hAnsi="Courier New"/>
          <w:noProof w:val="0"/>
        </w:rPr>
        <w:t>10-2138</w:t>
      </w:r>
      <w:r w:rsidR="00B221D3" w:rsidRPr="00405256">
        <w:rPr>
          <w:rFonts w:ascii="Courier New" w:hAnsi="Courier New"/>
          <w:noProof w:val="0"/>
        </w:rPr>
        <w:t>.  </w:t>
      </w:r>
      <w:r w:rsidR="00B221D3" w:rsidRPr="00405256">
        <w:rPr>
          <w:rStyle w:val="SECHEAD"/>
          <w:rFonts w:ascii="Courier New" w:hAnsi="Courier New"/>
          <w:noProof w:val="0"/>
        </w:rPr>
        <w:t>Prohibition of duplication of service</w:t>
      </w:r>
    </w:p>
    <w:p w14:paraId="3D45A030" w14:textId="77777777" w:rsidR="00B221D3" w:rsidRPr="00405256" w:rsidRDefault="00B221D3">
      <w:pPr>
        <w:pStyle w:val="P06-00"/>
        <w:rPr>
          <w:rFonts w:ascii="Courier New" w:hAnsi="Courier New"/>
          <w:noProof w:val="0"/>
        </w:rPr>
      </w:pPr>
      <w:r w:rsidRPr="00405256">
        <w:rPr>
          <w:rFonts w:ascii="Courier New" w:hAnsi="Courier New"/>
          <w:noProof w:val="0"/>
        </w:rPr>
        <w:t xml:space="preserve">A generation and transmission cooperative organized pursuant to this article is expressly prohibited from supplying electric generation service in the certificated service territory of or to any corporation in the certificated service territory of or to any member of a member owned nonprofit cooperative corporation unless the cooperative has the consent of that corporation. </w:t>
      </w:r>
      <w:r w:rsidR="00F30157" w:rsidRPr="00405256">
        <w:rPr>
          <w:rFonts w:ascii="Courier New" w:hAnsi="Courier New"/>
        </w:rPr>
        <w:fldChar w:fldCharType="begin"/>
      </w:r>
      <w:r w:rsidR="00F30157" w:rsidRPr="00405256">
        <w:rPr>
          <w:rFonts w:ascii="Courier New" w:hAnsi="Courier New"/>
        </w:rPr>
        <w:instrText xml:space="preserve"> COMMENTS END_STATUTE \* MERGEFORMAT </w:instrText>
      </w:r>
      <w:r w:rsidR="00F30157" w:rsidRPr="00405256">
        <w:rPr>
          <w:rFonts w:ascii="Courier New" w:hAnsi="Courier New"/>
        </w:rPr>
        <w:fldChar w:fldCharType="separate"/>
      </w:r>
      <w:r w:rsidR="00F30157" w:rsidRPr="00405256">
        <w:rPr>
          <w:rFonts w:ascii="Courier New" w:hAnsi="Courier New"/>
        </w:rPr>
        <w:t>END_STATUTE</w:t>
      </w:r>
      <w:r w:rsidR="00F30157" w:rsidRPr="00405256">
        <w:rPr>
          <w:rFonts w:ascii="Courier New" w:hAnsi="Courier New"/>
        </w:rPr>
        <w:fldChar w:fldCharType="end"/>
      </w:r>
    </w:p>
    <w:sectPr w:rsidR="00B221D3" w:rsidRPr="0040525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6149" w14:textId="77777777" w:rsidR="00B221D3" w:rsidRDefault="00B221D3">
      <w:r>
        <w:separator/>
      </w:r>
    </w:p>
  </w:endnote>
  <w:endnote w:type="continuationSeparator" w:id="0">
    <w:p w14:paraId="6F4ECEF5" w14:textId="77777777" w:rsidR="00B221D3" w:rsidRDefault="00B2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C018" w14:textId="77777777" w:rsidR="00B221D3" w:rsidRDefault="00B22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9439" w14:textId="77777777" w:rsidR="00B221D3" w:rsidRDefault="00B221D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0161" w14:textId="77777777" w:rsidR="00B221D3" w:rsidRDefault="00B22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29C7" w14:textId="77777777" w:rsidR="00B221D3" w:rsidRDefault="00B221D3">
      <w:r>
        <w:separator/>
      </w:r>
    </w:p>
  </w:footnote>
  <w:footnote w:type="continuationSeparator" w:id="0">
    <w:p w14:paraId="0BB9ACCF" w14:textId="77777777" w:rsidR="00B221D3" w:rsidRDefault="00B2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4066" w14:textId="77777777" w:rsidR="00B221D3" w:rsidRDefault="00B22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28A3" w14:textId="77777777" w:rsidR="00B221D3" w:rsidRDefault="00B221D3">
    <w:pPr>
      <w:pStyle w:val="Header"/>
    </w:pPr>
  </w:p>
  <w:p w14:paraId="5EED9FB3" w14:textId="77777777" w:rsidR="00B221D3" w:rsidRDefault="00B221D3">
    <w:pPr>
      <w:pStyle w:val="Header"/>
    </w:pPr>
  </w:p>
  <w:p w14:paraId="5D146F7E" w14:textId="77777777" w:rsidR="00B221D3" w:rsidRDefault="00B221D3">
    <w:pPr>
      <w:pStyle w:val="Header"/>
    </w:pPr>
  </w:p>
  <w:p w14:paraId="740609F7" w14:textId="77777777" w:rsidR="00B221D3" w:rsidRDefault="00B221D3">
    <w:pPr>
      <w:pStyle w:val="Header"/>
    </w:pPr>
  </w:p>
  <w:p w14:paraId="26B936BA" w14:textId="77777777" w:rsidR="00B221D3" w:rsidRDefault="00B22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5BF1" w14:textId="77777777" w:rsidR="00B221D3" w:rsidRDefault="00B22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57"/>
    <w:rsid w:val="00405256"/>
    <w:rsid w:val="00B221D3"/>
    <w:rsid w:val="00F3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4D17F3"/>
  <w15:chartTrackingRefBased/>
  <w15:docId w15:val="{EB2F6363-3B85-4F44-B2F3-341021C6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74</Words>
  <Characters>458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10-2138</vt:lpstr>
    </vt:vector>
  </TitlesOfParts>
  <Company>LCS</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10-2138; Prohibition of duplication of service</dc:title>
  <dc:subject>Prohibition of duplication of service</dc:subject>
  <dc:creator>Arizona Legislative Council</dc:creator>
  <cp:keywords/>
  <dc:description>10_x001e_2138</dc:description>
  <cp:lastModifiedBy>dbupdate</cp:lastModifiedBy>
  <cp:revision>2</cp:revision>
  <cp:lastPrinted>1999-03-22T18:35:00Z</cp:lastPrinted>
  <dcterms:created xsi:type="dcterms:W3CDTF">2025-09-19T22:16:00Z</dcterms:created>
  <dcterms:modified xsi:type="dcterms:W3CDTF">2025-09-19T22:16:00Z</dcterms:modified>
</cp:coreProperties>
</file>